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AD6E" w14:textId="64839532" w:rsidR="008C6989" w:rsidRPr="00A16673" w:rsidRDefault="00A16673">
      <w:pPr>
        <w:rPr>
          <w:sz w:val="28"/>
          <w:szCs w:val="28"/>
        </w:rPr>
      </w:pPr>
      <w:r w:rsidRPr="00A16673">
        <w:rPr>
          <w:sz w:val="28"/>
          <w:szCs w:val="28"/>
        </w:rPr>
        <w:t>California Public Utilities Commission Energy Division Staff Comments on CAISO’s Business Practice Change Proposed Revision Request 1498</w:t>
      </w:r>
    </w:p>
    <w:p w14:paraId="5402F496" w14:textId="77777777" w:rsidR="00A16673" w:rsidRDefault="00A16673"/>
    <w:p w14:paraId="161DFDBA" w14:textId="29AA9E11" w:rsidR="004C3CE3" w:rsidRDefault="00A16673">
      <w:pPr>
        <w:rPr>
          <w:sz w:val="26"/>
          <w:szCs w:val="26"/>
        </w:rPr>
      </w:pPr>
      <w:r w:rsidRPr="00ED1AC4">
        <w:rPr>
          <w:sz w:val="26"/>
          <w:szCs w:val="26"/>
        </w:rPr>
        <w:t xml:space="preserve">The California Public Utilities Commission (CPUC) Energy Division Staff (“ED staff”) appreciates the opportunity to comment on CAISO’s Business Practice Manual (BPM), Proposed Revision Request (PRR) 1498 regarding Assistance Transfer Energy.  In BPM PRR 1498, CAISO proposes to implement criteria under which it would opt the CAISO </w:t>
      </w:r>
      <w:r w:rsidR="00BA3D3F">
        <w:rPr>
          <w:sz w:val="26"/>
          <w:szCs w:val="26"/>
        </w:rPr>
        <w:t>balancing area authority (</w:t>
      </w:r>
      <w:r w:rsidRPr="00ED1AC4">
        <w:rPr>
          <w:sz w:val="26"/>
          <w:szCs w:val="26"/>
        </w:rPr>
        <w:t>BAA</w:t>
      </w:r>
      <w:r w:rsidR="00BA3D3F">
        <w:rPr>
          <w:sz w:val="26"/>
          <w:szCs w:val="26"/>
        </w:rPr>
        <w:t>)</w:t>
      </w:r>
      <w:r w:rsidRPr="00ED1AC4">
        <w:rPr>
          <w:sz w:val="26"/>
          <w:szCs w:val="26"/>
        </w:rPr>
        <w:t xml:space="preserve"> into</w:t>
      </w:r>
      <w:r w:rsidR="004C3CE3">
        <w:rPr>
          <w:sz w:val="26"/>
          <w:szCs w:val="26"/>
        </w:rPr>
        <w:t xml:space="preserve"> its proposed</w:t>
      </w:r>
      <w:r w:rsidRPr="00ED1AC4">
        <w:rPr>
          <w:sz w:val="26"/>
          <w:szCs w:val="26"/>
        </w:rPr>
        <w:t xml:space="preserve"> </w:t>
      </w:r>
      <w:r w:rsidR="004C3CE3">
        <w:rPr>
          <w:sz w:val="26"/>
          <w:szCs w:val="26"/>
        </w:rPr>
        <w:t xml:space="preserve">Western Energy Imbalance Market (WEIM) </w:t>
      </w:r>
      <w:r w:rsidRPr="00ED1AC4">
        <w:rPr>
          <w:sz w:val="26"/>
          <w:szCs w:val="26"/>
        </w:rPr>
        <w:t>energy assistance program</w:t>
      </w:r>
      <w:r w:rsidR="004C3CE3">
        <w:rPr>
          <w:sz w:val="26"/>
          <w:szCs w:val="26"/>
        </w:rPr>
        <w:t xml:space="preserve">.  CAISO developed this energy assistance program over the past </w:t>
      </w:r>
      <w:proofErr w:type="gramStart"/>
      <w:r w:rsidR="004C3CE3">
        <w:rPr>
          <w:sz w:val="26"/>
          <w:szCs w:val="26"/>
        </w:rPr>
        <w:t>year, and</w:t>
      </w:r>
      <w:proofErr w:type="gramEnd"/>
      <w:r w:rsidR="004C3CE3">
        <w:rPr>
          <w:sz w:val="26"/>
          <w:szCs w:val="26"/>
        </w:rPr>
        <w:t xml:space="preserve"> filed it with </w:t>
      </w:r>
      <w:r w:rsidRPr="00ED1AC4">
        <w:rPr>
          <w:sz w:val="26"/>
          <w:szCs w:val="26"/>
        </w:rPr>
        <w:t>the Federal Energy Regulatory Commission</w:t>
      </w:r>
      <w:r w:rsidR="004C3CE3">
        <w:rPr>
          <w:sz w:val="26"/>
          <w:szCs w:val="26"/>
        </w:rPr>
        <w:t xml:space="preserve"> (FERC) on March 31, 2023</w:t>
      </w:r>
      <w:r w:rsidR="004E390B">
        <w:rPr>
          <w:sz w:val="26"/>
          <w:szCs w:val="26"/>
        </w:rPr>
        <w:t>,</w:t>
      </w:r>
      <w:r w:rsidR="004C3CE3">
        <w:rPr>
          <w:sz w:val="26"/>
          <w:szCs w:val="26"/>
        </w:rPr>
        <w:t xml:space="preserve"> requesting approval for implementation on June 1, 2023. </w:t>
      </w:r>
    </w:p>
    <w:p w14:paraId="5AECC3C9" w14:textId="0BB83321" w:rsidR="004C3CE3" w:rsidRDefault="004C3CE3">
      <w:pPr>
        <w:rPr>
          <w:sz w:val="26"/>
          <w:szCs w:val="26"/>
        </w:rPr>
      </w:pPr>
      <w:r>
        <w:rPr>
          <w:sz w:val="26"/>
          <w:szCs w:val="26"/>
        </w:rPr>
        <w:t>While ED staff do</w:t>
      </w:r>
      <w:r w:rsidR="00BA3D3F">
        <w:rPr>
          <w:sz w:val="26"/>
          <w:szCs w:val="26"/>
        </w:rPr>
        <w:t>es</w:t>
      </w:r>
      <w:r>
        <w:rPr>
          <w:sz w:val="26"/>
          <w:szCs w:val="26"/>
        </w:rPr>
        <w:t xml:space="preserve"> not oppose CAISO’s proposed WEIM energy assistance program per se, </w:t>
      </w:r>
      <w:r w:rsidR="00A44680">
        <w:rPr>
          <w:sz w:val="26"/>
          <w:szCs w:val="26"/>
        </w:rPr>
        <w:t>ED staff</w:t>
      </w:r>
      <w:r>
        <w:rPr>
          <w:sz w:val="26"/>
          <w:szCs w:val="26"/>
        </w:rPr>
        <w:t xml:space="preserve"> do</w:t>
      </w:r>
      <w:r w:rsidR="00A44680">
        <w:rPr>
          <w:sz w:val="26"/>
          <w:szCs w:val="26"/>
        </w:rPr>
        <w:t>es</w:t>
      </w:r>
      <w:r>
        <w:rPr>
          <w:sz w:val="26"/>
          <w:szCs w:val="26"/>
        </w:rPr>
        <w:t xml:space="preserve"> not support the CAISO BAA opting into the program on behalf of California load serving entities</w:t>
      </w:r>
      <w:r w:rsidR="00FE3146">
        <w:rPr>
          <w:sz w:val="26"/>
          <w:szCs w:val="26"/>
        </w:rPr>
        <w:t>,</w:t>
      </w:r>
      <w:r w:rsidR="004E390B">
        <w:rPr>
          <w:sz w:val="26"/>
          <w:szCs w:val="26"/>
        </w:rPr>
        <w:t xml:space="preserve"> </w:t>
      </w:r>
      <w:proofErr w:type="gramStart"/>
      <w:r w:rsidR="004E390B">
        <w:rPr>
          <w:sz w:val="26"/>
          <w:szCs w:val="26"/>
        </w:rPr>
        <w:t>at this time</w:t>
      </w:r>
      <w:proofErr w:type="gramEnd"/>
      <w:r>
        <w:rPr>
          <w:sz w:val="26"/>
          <w:szCs w:val="26"/>
        </w:rPr>
        <w:t>.  ED staff’s position is discussed in more detail below, after a more detailed discussion regarding the genesis and development of this proposal and comments made by parties in the CAISO BAA</w:t>
      </w:r>
      <w:r w:rsidR="00FD4932">
        <w:rPr>
          <w:sz w:val="26"/>
          <w:szCs w:val="26"/>
        </w:rPr>
        <w:t xml:space="preserve"> </w:t>
      </w:r>
      <w:r>
        <w:rPr>
          <w:sz w:val="26"/>
          <w:szCs w:val="26"/>
        </w:rPr>
        <w:t>throughout the stakeholder process.</w:t>
      </w:r>
    </w:p>
    <w:p w14:paraId="3C9647B2" w14:textId="58BCE016" w:rsidR="004C3CE3" w:rsidRPr="00690205" w:rsidRDefault="004C3CE3">
      <w:pPr>
        <w:rPr>
          <w:b/>
          <w:bCs/>
          <w:sz w:val="26"/>
          <w:szCs w:val="26"/>
        </w:rPr>
      </w:pPr>
      <w:r w:rsidRPr="00690205">
        <w:rPr>
          <w:b/>
          <w:bCs/>
          <w:sz w:val="26"/>
          <w:szCs w:val="26"/>
        </w:rPr>
        <w:t xml:space="preserve">Background </w:t>
      </w:r>
    </w:p>
    <w:p w14:paraId="2D97840E" w14:textId="7AA20043" w:rsidR="00FE3146" w:rsidRDefault="00FE3146">
      <w:pPr>
        <w:rPr>
          <w:sz w:val="26"/>
          <w:szCs w:val="26"/>
        </w:rPr>
      </w:pPr>
      <w:r>
        <w:rPr>
          <w:sz w:val="26"/>
          <w:szCs w:val="26"/>
        </w:rPr>
        <w:t xml:space="preserve">Broadly, the resource sufficiency evaluation (RSE) is a test conducted by CAISO to ensure that </w:t>
      </w:r>
      <w:r w:rsidR="009C26D9">
        <w:rPr>
          <w:sz w:val="26"/>
          <w:szCs w:val="26"/>
        </w:rPr>
        <w:t xml:space="preserve">WEIM </w:t>
      </w:r>
      <w:r>
        <w:rPr>
          <w:sz w:val="26"/>
          <w:szCs w:val="26"/>
        </w:rPr>
        <w:t>entities have sufficient capacity and flexibility to meet their load (and certain export obligations), before allowing CAISO to optimize resources through the WEIM process.  Currently, if an entity fails the WEIM RSE, that balancing authority area (BAA) is limited to WEIM transfers based on the last feasible schedule.  Thus, if an entity had net WEIM transfers of 1,000 MW before failing the RSE in the next interval, that BAA would be limited to WEIM transfers of 1,000 MW.</w:t>
      </w:r>
    </w:p>
    <w:p w14:paraId="4944399E" w14:textId="210F0AAB" w:rsidR="00D11C68" w:rsidRDefault="00FE3146">
      <w:pPr>
        <w:rPr>
          <w:sz w:val="26"/>
          <w:szCs w:val="26"/>
        </w:rPr>
      </w:pPr>
      <w:r>
        <w:rPr>
          <w:sz w:val="26"/>
          <w:szCs w:val="26"/>
        </w:rPr>
        <w:t xml:space="preserve">Over the past year, CAISO has worked on an energy assistance proposal at the request of </w:t>
      </w:r>
      <w:proofErr w:type="gramStart"/>
      <w:r>
        <w:rPr>
          <w:sz w:val="26"/>
          <w:szCs w:val="26"/>
        </w:rPr>
        <w:t>a number of</w:t>
      </w:r>
      <w:proofErr w:type="gramEnd"/>
      <w:r>
        <w:rPr>
          <w:sz w:val="26"/>
          <w:szCs w:val="26"/>
        </w:rPr>
        <w:t xml:space="preserve"> external, non-California WEIM participants.  These entities primarily expressed concern that limiting WEIM transfers to the last feasible schedule could result in reliability events and</w:t>
      </w:r>
      <w:r w:rsidR="00D11C68">
        <w:rPr>
          <w:sz w:val="26"/>
          <w:szCs w:val="26"/>
        </w:rPr>
        <w:t>/or exacerbate stressed system conditions.</w:t>
      </w:r>
      <w:r w:rsidR="00680E2B">
        <w:rPr>
          <w:sz w:val="26"/>
          <w:szCs w:val="26"/>
        </w:rPr>
        <w:t xml:space="preserve"> </w:t>
      </w:r>
      <w:r w:rsidR="00475064">
        <w:rPr>
          <w:sz w:val="26"/>
          <w:szCs w:val="26"/>
        </w:rPr>
        <w:t>Others, however, expressed concerns that the CAISO BAA had access to</w:t>
      </w:r>
      <w:r w:rsidR="00475064" w:rsidRPr="00475064">
        <w:rPr>
          <w:i/>
          <w:iCs/>
          <w:sz w:val="26"/>
          <w:szCs w:val="26"/>
        </w:rPr>
        <w:t xml:space="preserve"> any</w:t>
      </w:r>
      <w:r w:rsidR="00475064">
        <w:rPr>
          <w:sz w:val="26"/>
          <w:szCs w:val="26"/>
        </w:rPr>
        <w:t xml:space="preserve"> WEIM transfers after an RSE failure</w:t>
      </w:r>
      <w:r w:rsidR="00A44680">
        <w:rPr>
          <w:sz w:val="26"/>
          <w:szCs w:val="26"/>
        </w:rPr>
        <w:t>, even though CAISO typically supports low priority exports based on advisory WEIM transfers in the hour-ahead scheduling process (HASP).</w:t>
      </w:r>
    </w:p>
    <w:p w14:paraId="7EAA8BCD" w14:textId="08ADDBDF" w:rsidR="00B90B3F" w:rsidRDefault="00D11C68">
      <w:pPr>
        <w:rPr>
          <w:sz w:val="26"/>
          <w:szCs w:val="26"/>
        </w:rPr>
      </w:pPr>
      <w:r>
        <w:rPr>
          <w:sz w:val="26"/>
          <w:szCs w:val="26"/>
        </w:rPr>
        <w:t>CAISO initially developed an energy assistance pro</w:t>
      </w:r>
      <w:r w:rsidR="00680E2B">
        <w:rPr>
          <w:sz w:val="26"/>
          <w:szCs w:val="26"/>
        </w:rPr>
        <w:t>posal</w:t>
      </w:r>
      <w:r>
        <w:rPr>
          <w:sz w:val="26"/>
          <w:szCs w:val="26"/>
        </w:rPr>
        <w:t xml:space="preserve"> that would increase prices up to $4,000/MWH for all real-time transactions when a WEIM entity failed the RSE</w:t>
      </w:r>
      <w:r w:rsidR="00680E2B">
        <w:rPr>
          <w:sz w:val="26"/>
          <w:szCs w:val="26"/>
        </w:rPr>
        <w:t xml:space="preserve">, if a WEIM </w:t>
      </w:r>
      <w:r w:rsidR="00680E2B">
        <w:rPr>
          <w:sz w:val="26"/>
          <w:szCs w:val="26"/>
        </w:rPr>
        <w:lastRenderedPageBreak/>
        <w:t>entity opted into the energy assistance product</w:t>
      </w:r>
      <w:r>
        <w:rPr>
          <w:sz w:val="26"/>
          <w:szCs w:val="26"/>
        </w:rPr>
        <w:t>. This proposal was nearly universally opposed</w:t>
      </w:r>
      <w:r w:rsidR="00AD7CF7">
        <w:rPr>
          <w:sz w:val="26"/>
          <w:szCs w:val="26"/>
        </w:rPr>
        <w:t>.  The opposition was based on</w:t>
      </w:r>
      <w:r>
        <w:rPr>
          <w:sz w:val="26"/>
          <w:szCs w:val="26"/>
        </w:rPr>
        <w:t xml:space="preserve"> </w:t>
      </w:r>
      <w:r w:rsidR="00BA560D">
        <w:rPr>
          <w:sz w:val="26"/>
          <w:szCs w:val="26"/>
        </w:rPr>
        <w:t>the high proposed price, but especially because</w:t>
      </w:r>
      <w:r>
        <w:rPr>
          <w:sz w:val="26"/>
          <w:szCs w:val="26"/>
        </w:rPr>
        <w:t xml:space="preserve"> it did not impose this price on just the incremental amount of energy needed</w:t>
      </w:r>
      <w:r w:rsidR="00C55FF3">
        <w:rPr>
          <w:sz w:val="26"/>
          <w:szCs w:val="26"/>
        </w:rPr>
        <w:t xml:space="preserve"> to</w:t>
      </w:r>
      <w:r>
        <w:rPr>
          <w:sz w:val="26"/>
          <w:szCs w:val="26"/>
        </w:rPr>
        <w:t xml:space="preserve"> meet an entities resource sufficiency evaluation</w:t>
      </w:r>
      <w:r w:rsidR="00AD7CF7">
        <w:rPr>
          <w:sz w:val="26"/>
          <w:szCs w:val="26"/>
        </w:rPr>
        <w:t>.  In other words</w:t>
      </w:r>
      <w:r w:rsidR="00B90B3F">
        <w:rPr>
          <w:sz w:val="26"/>
          <w:szCs w:val="26"/>
        </w:rPr>
        <w:t>,</w:t>
      </w:r>
      <w:r w:rsidR="00AD7CF7">
        <w:rPr>
          <w:sz w:val="26"/>
          <w:szCs w:val="26"/>
        </w:rPr>
        <w:t xml:space="preserve"> this high proposed price </w:t>
      </w:r>
      <w:r>
        <w:rPr>
          <w:sz w:val="26"/>
          <w:szCs w:val="26"/>
        </w:rPr>
        <w:t>would apply to the entire real-time market – an extraordinar</w:t>
      </w:r>
      <w:r w:rsidR="00BA560D">
        <w:rPr>
          <w:sz w:val="26"/>
          <w:szCs w:val="26"/>
        </w:rPr>
        <w:t>il</w:t>
      </w:r>
      <w:r>
        <w:rPr>
          <w:sz w:val="26"/>
          <w:szCs w:val="26"/>
        </w:rPr>
        <w:t>y expensive proposition</w:t>
      </w:r>
      <w:r w:rsidR="00BA3D3F">
        <w:rPr>
          <w:sz w:val="26"/>
          <w:szCs w:val="26"/>
        </w:rPr>
        <w:t xml:space="preserve">. </w:t>
      </w:r>
    </w:p>
    <w:p w14:paraId="44A88A7A" w14:textId="77777777" w:rsidR="00B90B3F" w:rsidRDefault="00D11C68">
      <w:pPr>
        <w:rPr>
          <w:sz w:val="26"/>
          <w:szCs w:val="26"/>
        </w:rPr>
      </w:pPr>
      <w:r>
        <w:rPr>
          <w:sz w:val="26"/>
          <w:szCs w:val="26"/>
        </w:rPr>
        <w:t xml:space="preserve">For example, </w:t>
      </w:r>
      <w:r w:rsidR="00C55FF3">
        <w:rPr>
          <w:sz w:val="26"/>
          <w:szCs w:val="26"/>
        </w:rPr>
        <w:t xml:space="preserve">under this paradigm, if </w:t>
      </w:r>
      <w:r>
        <w:rPr>
          <w:sz w:val="26"/>
          <w:szCs w:val="26"/>
        </w:rPr>
        <w:t>a BAA failed the RSE by 1 MW (and, thus, arguabl</w:t>
      </w:r>
      <w:r w:rsidR="00C55FF3">
        <w:rPr>
          <w:sz w:val="26"/>
          <w:szCs w:val="26"/>
        </w:rPr>
        <w:t>y</w:t>
      </w:r>
      <w:r>
        <w:rPr>
          <w:sz w:val="26"/>
          <w:szCs w:val="26"/>
        </w:rPr>
        <w:t xml:space="preserve"> only needed 1 MW to meet load), </w:t>
      </w:r>
      <w:r w:rsidR="00C55FF3">
        <w:rPr>
          <w:sz w:val="26"/>
          <w:szCs w:val="26"/>
        </w:rPr>
        <w:t xml:space="preserve">but </w:t>
      </w:r>
      <w:r w:rsidR="00A44680">
        <w:rPr>
          <w:sz w:val="26"/>
          <w:szCs w:val="26"/>
        </w:rPr>
        <w:t xml:space="preserve">had </w:t>
      </w:r>
      <w:r w:rsidR="00C55FF3">
        <w:rPr>
          <w:sz w:val="26"/>
          <w:szCs w:val="26"/>
        </w:rPr>
        <w:t xml:space="preserve">3,000 MW of real-time transactions, prices could rise to $4,000/MWh for all </w:t>
      </w:r>
      <w:r w:rsidR="00680E2B">
        <w:rPr>
          <w:sz w:val="26"/>
          <w:szCs w:val="26"/>
        </w:rPr>
        <w:t xml:space="preserve">3,000 MW of </w:t>
      </w:r>
      <w:r w:rsidR="00C55FF3">
        <w:rPr>
          <w:sz w:val="26"/>
          <w:szCs w:val="26"/>
        </w:rPr>
        <w:t>real-time market transactions</w:t>
      </w:r>
      <w:r w:rsidR="00680E2B">
        <w:rPr>
          <w:sz w:val="26"/>
          <w:szCs w:val="26"/>
        </w:rPr>
        <w:t xml:space="preserve">, not just the 1 MW failure. The extraordinarily high cost of this proposal was </w:t>
      </w:r>
      <w:r>
        <w:rPr>
          <w:sz w:val="26"/>
          <w:szCs w:val="26"/>
        </w:rPr>
        <w:t xml:space="preserve">demonstrated by the Department of Market Monitoring </w:t>
      </w:r>
      <w:r w:rsidR="00B90B3F">
        <w:rPr>
          <w:sz w:val="26"/>
          <w:szCs w:val="26"/>
        </w:rPr>
        <w:t xml:space="preserve">(DMM) </w:t>
      </w:r>
      <w:r>
        <w:rPr>
          <w:sz w:val="26"/>
          <w:szCs w:val="26"/>
        </w:rPr>
        <w:t>in its comments on that version of CAISO’s proposal</w:t>
      </w:r>
      <w:r w:rsidR="009452FB">
        <w:rPr>
          <w:sz w:val="26"/>
          <w:szCs w:val="26"/>
        </w:rPr>
        <w:t xml:space="preserve"> (see </w:t>
      </w:r>
      <w:r w:rsidR="00A44680">
        <w:rPr>
          <w:sz w:val="26"/>
          <w:szCs w:val="26"/>
        </w:rPr>
        <w:t>table</w:t>
      </w:r>
      <w:r w:rsidR="009452FB">
        <w:rPr>
          <w:sz w:val="26"/>
          <w:szCs w:val="26"/>
        </w:rPr>
        <w:t xml:space="preserve"> below)</w:t>
      </w:r>
      <w:r>
        <w:rPr>
          <w:sz w:val="26"/>
          <w:szCs w:val="26"/>
        </w:rPr>
        <w:t>.</w:t>
      </w:r>
      <w:r w:rsidR="00021DD3">
        <w:rPr>
          <w:rStyle w:val="FootnoteReference"/>
          <w:sz w:val="26"/>
          <w:szCs w:val="26"/>
        </w:rPr>
        <w:footnoteReference w:id="1"/>
      </w:r>
      <w:r w:rsidR="00021DD3">
        <w:rPr>
          <w:sz w:val="26"/>
          <w:szCs w:val="26"/>
        </w:rPr>
        <w:t xml:space="preserve">  </w:t>
      </w:r>
    </w:p>
    <w:p w14:paraId="25358007" w14:textId="575A7788" w:rsidR="00D11C68" w:rsidRDefault="00021DD3">
      <w:pPr>
        <w:rPr>
          <w:sz w:val="26"/>
          <w:szCs w:val="26"/>
        </w:rPr>
      </w:pPr>
      <w:r>
        <w:rPr>
          <w:sz w:val="26"/>
          <w:szCs w:val="26"/>
        </w:rPr>
        <w:t xml:space="preserve">Under this proposal, as demonstrated by DMM, the CAISO would have paid a penalty of $60 million for RSE failures in 15 </w:t>
      </w:r>
      <w:proofErr w:type="gramStart"/>
      <w:r>
        <w:rPr>
          <w:sz w:val="26"/>
          <w:szCs w:val="26"/>
        </w:rPr>
        <w:t>fifteen minute</w:t>
      </w:r>
      <w:proofErr w:type="gramEnd"/>
      <w:r>
        <w:rPr>
          <w:sz w:val="26"/>
          <w:szCs w:val="26"/>
        </w:rPr>
        <w:t xml:space="preserve"> intervals</w:t>
      </w:r>
      <w:r w:rsidR="005C65B2">
        <w:rPr>
          <w:sz w:val="26"/>
          <w:szCs w:val="26"/>
        </w:rPr>
        <w:t xml:space="preserve"> (or over 3 ¼ hours)</w:t>
      </w:r>
      <w:r>
        <w:rPr>
          <w:sz w:val="26"/>
          <w:szCs w:val="26"/>
        </w:rPr>
        <w:t>, in addition to the $46 million paid for the energy itself</w:t>
      </w:r>
      <w:r w:rsidR="000523E6">
        <w:rPr>
          <w:sz w:val="26"/>
          <w:szCs w:val="26"/>
        </w:rPr>
        <w:t xml:space="preserve">, </w:t>
      </w:r>
      <w:r w:rsidR="00CA6881">
        <w:rPr>
          <w:sz w:val="26"/>
          <w:szCs w:val="26"/>
        </w:rPr>
        <w:t xml:space="preserve">at an </w:t>
      </w:r>
      <w:r w:rsidR="000523E6">
        <w:rPr>
          <w:sz w:val="26"/>
          <w:szCs w:val="26"/>
        </w:rPr>
        <w:t>average</w:t>
      </w:r>
      <w:r w:rsidR="00CA6881">
        <w:rPr>
          <w:sz w:val="26"/>
          <w:szCs w:val="26"/>
        </w:rPr>
        <w:t xml:space="preserve"> price of</w:t>
      </w:r>
      <w:r w:rsidR="000523E6">
        <w:rPr>
          <w:sz w:val="26"/>
          <w:szCs w:val="26"/>
        </w:rPr>
        <w:t xml:space="preserve"> </w:t>
      </w:r>
      <w:r>
        <w:rPr>
          <w:sz w:val="26"/>
          <w:szCs w:val="26"/>
        </w:rPr>
        <w:t>$1,534/MWh</w:t>
      </w:r>
      <w:r w:rsidR="00CA6881">
        <w:rPr>
          <w:sz w:val="26"/>
          <w:szCs w:val="26"/>
        </w:rPr>
        <w:t>,</w:t>
      </w:r>
      <w:r w:rsidR="000523E6">
        <w:rPr>
          <w:sz w:val="26"/>
          <w:szCs w:val="26"/>
        </w:rPr>
        <w:t xml:space="preserve"> </w:t>
      </w:r>
      <w:r w:rsidR="00490D8F">
        <w:rPr>
          <w:sz w:val="26"/>
          <w:szCs w:val="26"/>
        </w:rPr>
        <w:t xml:space="preserve">even </w:t>
      </w:r>
      <w:r w:rsidR="000523E6" w:rsidRPr="00FE32D7">
        <w:rPr>
          <w:sz w:val="26"/>
          <w:szCs w:val="26"/>
          <w:u w:val="single"/>
        </w:rPr>
        <w:t>before</w:t>
      </w:r>
      <w:r w:rsidR="00CA6881">
        <w:rPr>
          <w:sz w:val="26"/>
          <w:szCs w:val="26"/>
        </w:rPr>
        <w:t xml:space="preserve"> consideration of the proposed </w:t>
      </w:r>
      <w:r w:rsidR="000523E6">
        <w:rPr>
          <w:sz w:val="26"/>
          <w:szCs w:val="26"/>
        </w:rPr>
        <w:t xml:space="preserve">$2,000/MWh </w:t>
      </w:r>
      <w:r w:rsidR="00CA6881">
        <w:rPr>
          <w:sz w:val="26"/>
          <w:szCs w:val="26"/>
        </w:rPr>
        <w:t xml:space="preserve">in-market scarcity pricing </w:t>
      </w:r>
      <w:r w:rsidR="000523E6">
        <w:rPr>
          <w:sz w:val="26"/>
          <w:szCs w:val="26"/>
        </w:rPr>
        <w:t>penalty</w:t>
      </w:r>
      <w:r>
        <w:rPr>
          <w:sz w:val="26"/>
          <w:szCs w:val="26"/>
        </w:rPr>
        <w:t>.</w:t>
      </w:r>
    </w:p>
    <w:p w14:paraId="78FA20B7" w14:textId="5B24EE90" w:rsidR="00475064" w:rsidRDefault="00021DD3">
      <w:pPr>
        <w:rPr>
          <w:sz w:val="26"/>
          <w:szCs w:val="26"/>
        </w:rPr>
      </w:pPr>
      <w:r>
        <w:rPr>
          <w:noProof/>
        </w:rPr>
        <w:drawing>
          <wp:inline distT="0" distB="0" distL="0" distR="0" wp14:anchorId="29B74EA5" wp14:editId="75A0B477">
            <wp:extent cx="5943600" cy="3886835"/>
            <wp:effectExtent l="0" t="0" r="0" b="0"/>
            <wp:docPr id="286568819"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568819" name="Picture 1" descr="Table&#10;&#10;Description automatically generated"/>
                    <pic:cNvPicPr/>
                  </pic:nvPicPr>
                  <pic:blipFill>
                    <a:blip r:embed="rId8"/>
                    <a:stretch>
                      <a:fillRect/>
                    </a:stretch>
                  </pic:blipFill>
                  <pic:spPr>
                    <a:xfrm>
                      <a:off x="0" y="0"/>
                      <a:ext cx="5943600" cy="3886835"/>
                    </a:xfrm>
                    <a:prstGeom prst="rect">
                      <a:avLst/>
                    </a:prstGeom>
                  </pic:spPr>
                </pic:pic>
              </a:graphicData>
            </a:graphic>
          </wp:inline>
        </w:drawing>
      </w:r>
    </w:p>
    <w:p w14:paraId="6878E498" w14:textId="75D258EE" w:rsidR="00B563E7" w:rsidRDefault="00AD7CF7">
      <w:pPr>
        <w:rPr>
          <w:sz w:val="26"/>
          <w:szCs w:val="26"/>
        </w:rPr>
      </w:pPr>
      <w:r>
        <w:rPr>
          <w:sz w:val="26"/>
          <w:szCs w:val="26"/>
        </w:rPr>
        <w:lastRenderedPageBreak/>
        <w:t xml:space="preserve">After considering stakeholder comments, CAISO revised the final version of the RSE. </w:t>
      </w:r>
      <w:r w:rsidR="00680E2B">
        <w:rPr>
          <w:sz w:val="26"/>
          <w:szCs w:val="26"/>
        </w:rPr>
        <w:t>In its final version, currently before FERC for consideration, CAISO proposes</w:t>
      </w:r>
      <w:r w:rsidR="005C65B2">
        <w:rPr>
          <w:sz w:val="26"/>
          <w:szCs w:val="26"/>
        </w:rPr>
        <w:t>,</w:t>
      </w:r>
      <w:r w:rsidR="00C61317">
        <w:rPr>
          <w:sz w:val="26"/>
          <w:szCs w:val="26"/>
        </w:rPr>
        <w:t xml:space="preserve"> for those </w:t>
      </w:r>
      <w:r w:rsidR="005C65B2">
        <w:rPr>
          <w:sz w:val="26"/>
          <w:szCs w:val="26"/>
        </w:rPr>
        <w:t xml:space="preserve">BAAs </w:t>
      </w:r>
      <w:r w:rsidR="00C61317">
        <w:rPr>
          <w:sz w:val="26"/>
          <w:szCs w:val="26"/>
        </w:rPr>
        <w:t>opting into the program,</w:t>
      </w:r>
      <w:r w:rsidR="005C65B2">
        <w:rPr>
          <w:sz w:val="26"/>
          <w:szCs w:val="26"/>
        </w:rPr>
        <w:t xml:space="preserve"> </w:t>
      </w:r>
      <w:r w:rsidR="00CA6881">
        <w:rPr>
          <w:sz w:val="26"/>
          <w:szCs w:val="26"/>
        </w:rPr>
        <w:t xml:space="preserve">an </w:t>
      </w:r>
      <w:r w:rsidR="007649F5">
        <w:rPr>
          <w:sz w:val="26"/>
          <w:szCs w:val="26"/>
        </w:rPr>
        <w:t>after</w:t>
      </w:r>
      <w:r w:rsidR="00CA6881">
        <w:rPr>
          <w:sz w:val="26"/>
          <w:szCs w:val="26"/>
        </w:rPr>
        <w:t>-</w:t>
      </w:r>
      <w:r w:rsidR="007649F5">
        <w:rPr>
          <w:sz w:val="26"/>
          <w:szCs w:val="26"/>
        </w:rPr>
        <w:t>the</w:t>
      </w:r>
      <w:r w:rsidR="00CA6881">
        <w:rPr>
          <w:sz w:val="26"/>
          <w:szCs w:val="26"/>
        </w:rPr>
        <w:t>-</w:t>
      </w:r>
      <w:r w:rsidR="007649F5">
        <w:rPr>
          <w:sz w:val="26"/>
          <w:szCs w:val="26"/>
        </w:rPr>
        <w:t>fact charge</w:t>
      </w:r>
      <w:r w:rsidR="00B563E7">
        <w:rPr>
          <w:sz w:val="26"/>
          <w:szCs w:val="26"/>
        </w:rPr>
        <w:t xml:space="preserve"> </w:t>
      </w:r>
      <w:r w:rsidR="007649F5">
        <w:rPr>
          <w:sz w:val="26"/>
          <w:szCs w:val="26"/>
        </w:rPr>
        <w:t>of either $1,000 or $2,000/MWH</w:t>
      </w:r>
      <w:r w:rsidR="00B563E7">
        <w:rPr>
          <w:sz w:val="26"/>
          <w:szCs w:val="26"/>
        </w:rPr>
        <w:t xml:space="preserve"> (depending on the price cap in place at the time), </w:t>
      </w:r>
      <w:r w:rsidR="00C61317">
        <w:rPr>
          <w:sz w:val="26"/>
          <w:szCs w:val="26"/>
        </w:rPr>
        <w:t xml:space="preserve">multiplied </w:t>
      </w:r>
      <w:r w:rsidR="00490D8F">
        <w:rPr>
          <w:sz w:val="26"/>
          <w:szCs w:val="26"/>
        </w:rPr>
        <w:t xml:space="preserve">by </w:t>
      </w:r>
      <w:r w:rsidR="007649F5">
        <w:rPr>
          <w:sz w:val="26"/>
          <w:szCs w:val="26"/>
        </w:rPr>
        <w:t xml:space="preserve">the lesser of 1) the WEIM RSE failure amount, or 2) </w:t>
      </w:r>
      <w:r w:rsidR="00CA6881">
        <w:rPr>
          <w:sz w:val="26"/>
          <w:szCs w:val="26"/>
        </w:rPr>
        <w:t>the dynamic WEIM transfers that are tagged</w:t>
      </w:r>
      <w:r w:rsidR="00B563E7">
        <w:rPr>
          <w:sz w:val="26"/>
          <w:szCs w:val="26"/>
        </w:rPr>
        <w:t>.</w:t>
      </w:r>
      <w:r w:rsidR="007649F5">
        <w:rPr>
          <w:sz w:val="26"/>
          <w:szCs w:val="26"/>
        </w:rPr>
        <w:t xml:space="preserve">  </w:t>
      </w:r>
      <w:r w:rsidR="00B563E7">
        <w:rPr>
          <w:sz w:val="26"/>
          <w:szCs w:val="26"/>
        </w:rPr>
        <w:t>Th</w:t>
      </w:r>
      <w:r>
        <w:rPr>
          <w:sz w:val="26"/>
          <w:szCs w:val="26"/>
        </w:rPr>
        <w:t>ese charges</w:t>
      </w:r>
      <w:r w:rsidR="00B563E7">
        <w:rPr>
          <w:sz w:val="26"/>
          <w:szCs w:val="26"/>
        </w:rPr>
        <w:t xml:space="preserve"> would be in addition to any of the charges for the energy itself.  Thus, for example, if a BAA failed the RSE by 1,500 MW, but had 3,000 MW of WEIM transfers over the course of an hour, the after-the-fact charge would be $3 million (or $2000/MWH x 1,500 MW), in addition to energy payments up to $6 million if the price cap of $2,000/MWH </w:t>
      </w:r>
      <w:r w:rsidR="000523E6">
        <w:rPr>
          <w:sz w:val="26"/>
          <w:szCs w:val="26"/>
        </w:rPr>
        <w:t>wa</w:t>
      </w:r>
      <w:r w:rsidR="00B563E7">
        <w:rPr>
          <w:sz w:val="26"/>
          <w:szCs w:val="26"/>
        </w:rPr>
        <w:t xml:space="preserve">s in effect at that time. At the same time, if a BAA failed the RSE by 1,500 MW, but had no WEIM transfers, the BAA would still be assessed the after-the-fact charge of $3 million, simply based on the RSE failure, not based on the incremental WEIM transfer usage.  </w:t>
      </w:r>
    </w:p>
    <w:p w14:paraId="4D965D90" w14:textId="0CBE8D5B" w:rsidR="008D23DB" w:rsidRPr="00E91B34" w:rsidRDefault="006D04D6" w:rsidP="00E91B34">
      <w:pPr>
        <w:rPr>
          <w:sz w:val="26"/>
          <w:szCs w:val="26"/>
        </w:rPr>
      </w:pPr>
      <w:r>
        <w:rPr>
          <w:sz w:val="26"/>
          <w:szCs w:val="26"/>
        </w:rPr>
        <w:t>Many entities supported the CAISO’s final proposal</w:t>
      </w:r>
      <w:r w:rsidR="007B2EDE">
        <w:rPr>
          <w:sz w:val="26"/>
          <w:szCs w:val="26"/>
        </w:rPr>
        <w:t xml:space="preserve"> and agreed that it should be </w:t>
      </w:r>
      <w:proofErr w:type="gramStart"/>
      <w:r w:rsidR="007B2EDE">
        <w:rPr>
          <w:sz w:val="26"/>
          <w:szCs w:val="26"/>
        </w:rPr>
        <w:t>opt</w:t>
      </w:r>
      <w:proofErr w:type="gramEnd"/>
      <w:r w:rsidR="007B2EDE">
        <w:rPr>
          <w:sz w:val="26"/>
          <w:szCs w:val="26"/>
        </w:rPr>
        <w:t xml:space="preserve"> in</w:t>
      </w:r>
      <w:r>
        <w:rPr>
          <w:sz w:val="26"/>
          <w:szCs w:val="26"/>
        </w:rPr>
        <w:t xml:space="preserve">, while </w:t>
      </w:r>
      <w:r w:rsidR="007B2EDE">
        <w:rPr>
          <w:sz w:val="26"/>
          <w:szCs w:val="26"/>
        </w:rPr>
        <w:t xml:space="preserve">others argued that it should be mandatory for all BAAs and that the charges should apply to all WEIM transfers after failure, not just the RSE failure amount.  </w:t>
      </w:r>
      <w:r w:rsidR="00A20C87">
        <w:rPr>
          <w:sz w:val="26"/>
          <w:szCs w:val="26"/>
        </w:rPr>
        <w:t>Most</w:t>
      </w:r>
      <w:r w:rsidR="00AA0FAE">
        <w:rPr>
          <w:sz w:val="26"/>
          <w:szCs w:val="26"/>
        </w:rPr>
        <w:t xml:space="preserve"> </w:t>
      </w:r>
      <w:r w:rsidR="007B2EDE">
        <w:rPr>
          <w:sz w:val="26"/>
          <w:szCs w:val="26"/>
        </w:rPr>
        <w:t>stakeholders representing CAISO load</w:t>
      </w:r>
      <w:r w:rsidR="00AA0FAE">
        <w:rPr>
          <w:sz w:val="26"/>
          <w:szCs w:val="26"/>
        </w:rPr>
        <w:t xml:space="preserve"> felt </w:t>
      </w:r>
      <w:r w:rsidR="00C54A7C">
        <w:rPr>
          <w:sz w:val="26"/>
          <w:szCs w:val="26"/>
        </w:rPr>
        <w:t>strongly that</w:t>
      </w:r>
      <w:r w:rsidR="00185B9E">
        <w:rPr>
          <w:sz w:val="26"/>
          <w:szCs w:val="26"/>
        </w:rPr>
        <w:t xml:space="preserve"> CAISO should hold a formal stakeholder process before opting in</w:t>
      </w:r>
      <w:r w:rsidR="00AA0FAE">
        <w:rPr>
          <w:sz w:val="26"/>
          <w:szCs w:val="26"/>
        </w:rPr>
        <w:t>. These various stakeholder positions are</w:t>
      </w:r>
      <w:r w:rsidR="009E2CF8">
        <w:rPr>
          <w:sz w:val="26"/>
          <w:szCs w:val="26"/>
        </w:rPr>
        <w:t xml:space="preserve"> illustrated </w:t>
      </w:r>
      <w:r w:rsidR="000523E6">
        <w:rPr>
          <w:sz w:val="26"/>
          <w:szCs w:val="26"/>
        </w:rPr>
        <w:t xml:space="preserve">in some </w:t>
      </w:r>
      <w:r w:rsidR="00A907B2">
        <w:rPr>
          <w:sz w:val="26"/>
          <w:szCs w:val="26"/>
        </w:rPr>
        <w:t xml:space="preserve">excerpts from comments </w:t>
      </w:r>
      <w:r w:rsidR="009E2CF8">
        <w:rPr>
          <w:sz w:val="26"/>
          <w:szCs w:val="26"/>
        </w:rPr>
        <w:t>below</w:t>
      </w:r>
      <w:r w:rsidR="00185B9E">
        <w:rPr>
          <w:sz w:val="26"/>
          <w:szCs w:val="26"/>
        </w:rPr>
        <w:t>:</w:t>
      </w:r>
      <w:r w:rsidR="00394FC0">
        <w:rPr>
          <w:sz w:val="26"/>
          <w:szCs w:val="26"/>
        </w:rPr>
        <w:t xml:space="preserve"> </w:t>
      </w:r>
    </w:p>
    <w:p w14:paraId="7C6FA9DA" w14:textId="34BF270C" w:rsidR="00185B9E" w:rsidRDefault="00185B9E" w:rsidP="00185B9E">
      <w:pPr>
        <w:pStyle w:val="ListParagraph"/>
        <w:numPr>
          <w:ilvl w:val="0"/>
          <w:numId w:val="1"/>
        </w:numPr>
        <w:rPr>
          <w:sz w:val="26"/>
          <w:szCs w:val="26"/>
        </w:rPr>
      </w:pPr>
      <w:r>
        <w:rPr>
          <w:sz w:val="26"/>
          <w:szCs w:val="26"/>
        </w:rPr>
        <w:t>Southern California Edison:</w:t>
      </w:r>
      <w:r w:rsidR="00E91B34">
        <w:rPr>
          <w:rStyle w:val="FootnoteReference"/>
          <w:sz w:val="26"/>
          <w:szCs w:val="26"/>
        </w:rPr>
        <w:footnoteReference w:id="2"/>
      </w:r>
    </w:p>
    <w:p w14:paraId="41901B06" w14:textId="164E172D" w:rsidR="00185B9E" w:rsidRPr="00185B9E" w:rsidRDefault="00185B9E" w:rsidP="00E91B34">
      <w:pPr>
        <w:pStyle w:val="ListParagraph"/>
        <w:rPr>
          <w:sz w:val="26"/>
          <w:szCs w:val="26"/>
        </w:rPr>
      </w:pPr>
      <w:r>
        <w:rPr>
          <w:noProof/>
        </w:rPr>
        <w:drawing>
          <wp:inline distT="0" distB="0" distL="0" distR="0" wp14:anchorId="114555BD" wp14:editId="3C5B0AD6">
            <wp:extent cx="5943600" cy="1466850"/>
            <wp:effectExtent l="0" t="0" r="0" b="0"/>
            <wp:docPr id="206152924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29249" name="Picture 1" descr="Text&#10;&#10;Description automatically generated"/>
                    <pic:cNvPicPr/>
                  </pic:nvPicPr>
                  <pic:blipFill>
                    <a:blip r:embed="rId9"/>
                    <a:stretch>
                      <a:fillRect/>
                    </a:stretch>
                  </pic:blipFill>
                  <pic:spPr>
                    <a:xfrm>
                      <a:off x="0" y="0"/>
                      <a:ext cx="5943600" cy="1466850"/>
                    </a:xfrm>
                    <a:prstGeom prst="rect">
                      <a:avLst/>
                    </a:prstGeom>
                  </pic:spPr>
                </pic:pic>
              </a:graphicData>
            </a:graphic>
          </wp:inline>
        </w:drawing>
      </w:r>
    </w:p>
    <w:p w14:paraId="6A09049D" w14:textId="5E208E33" w:rsidR="00185B9E" w:rsidRPr="00185B9E" w:rsidRDefault="00185B9E" w:rsidP="00185B9E">
      <w:pPr>
        <w:pStyle w:val="ListParagraph"/>
        <w:numPr>
          <w:ilvl w:val="0"/>
          <w:numId w:val="1"/>
        </w:numPr>
        <w:rPr>
          <w:sz w:val="26"/>
          <w:szCs w:val="26"/>
        </w:rPr>
      </w:pPr>
      <w:r>
        <w:rPr>
          <w:sz w:val="26"/>
          <w:szCs w:val="26"/>
        </w:rPr>
        <w:t>SDG&amp;E:</w:t>
      </w:r>
      <w:r w:rsidR="00E91B34">
        <w:rPr>
          <w:rStyle w:val="FootnoteReference"/>
          <w:sz w:val="26"/>
          <w:szCs w:val="26"/>
        </w:rPr>
        <w:footnoteReference w:id="3"/>
      </w:r>
    </w:p>
    <w:p w14:paraId="7702E222" w14:textId="77777777" w:rsidR="00185B9E" w:rsidRDefault="00185B9E" w:rsidP="00185B9E">
      <w:pPr>
        <w:pStyle w:val="ListParagraph"/>
        <w:rPr>
          <w:sz w:val="26"/>
          <w:szCs w:val="26"/>
        </w:rPr>
      </w:pPr>
      <w:r>
        <w:rPr>
          <w:noProof/>
        </w:rPr>
        <w:drawing>
          <wp:inline distT="0" distB="0" distL="0" distR="0" wp14:anchorId="50064778" wp14:editId="1BF0B7BD">
            <wp:extent cx="5943600" cy="1447800"/>
            <wp:effectExtent l="0" t="0" r="0" b="0"/>
            <wp:docPr id="45322722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227222" name="Picture 1" descr="Text&#10;&#10;Description automatically generated"/>
                    <pic:cNvPicPr/>
                  </pic:nvPicPr>
                  <pic:blipFill>
                    <a:blip r:embed="rId10"/>
                    <a:stretch>
                      <a:fillRect/>
                    </a:stretch>
                  </pic:blipFill>
                  <pic:spPr>
                    <a:xfrm>
                      <a:off x="0" y="0"/>
                      <a:ext cx="5943600" cy="1447800"/>
                    </a:xfrm>
                    <a:prstGeom prst="rect">
                      <a:avLst/>
                    </a:prstGeom>
                  </pic:spPr>
                </pic:pic>
              </a:graphicData>
            </a:graphic>
          </wp:inline>
        </w:drawing>
      </w:r>
    </w:p>
    <w:p w14:paraId="7B199613" w14:textId="77777777" w:rsidR="00185B9E" w:rsidRDefault="00185B9E" w:rsidP="00185B9E">
      <w:pPr>
        <w:pStyle w:val="ListParagraph"/>
        <w:rPr>
          <w:sz w:val="26"/>
          <w:szCs w:val="26"/>
        </w:rPr>
      </w:pPr>
    </w:p>
    <w:p w14:paraId="2D509CEE" w14:textId="01262BC3" w:rsidR="009E2CF8" w:rsidRDefault="009E2CF8" w:rsidP="009E2CF8">
      <w:pPr>
        <w:pStyle w:val="ListParagraph"/>
        <w:numPr>
          <w:ilvl w:val="0"/>
          <w:numId w:val="1"/>
        </w:numPr>
        <w:rPr>
          <w:sz w:val="26"/>
          <w:szCs w:val="26"/>
        </w:rPr>
      </w:pPr>
      <w:r>
        <w:rPr>
          <w:sz w:val="26"/>
          <w:szCs w:val="26"/>
        </w:rPr>
        <w:t>PG&amp;E</w:t>
      </w:r>
      <w:r w:rsidR="00185B9E">
        <w:rPr>
          <w:sz w:val="26"/>
          <w:szCs w:val="26"/>
        </w:rPr>
        <w:t>:</w:t>
      </w:r>
      <w:r w:rsidR="00E91B34">
        <w:rPr>
          <w:rStyle w:val="FootnoteReference"/>
          <w:sz w:val="26"/>
          <w:szCs w:val="26"/>
        </w:rPr>
        <w:footnoteReference w:id="4"/>
      </w:r>
    </w:p>
    <w:p w14:paraId="0D7CBC4A" w14:textId="18367107" w:rsidR="00394FC0" w:rsidRDefault="00394FC0" w:rsidP="00394FC0">
      <w:pPr>
        <w:pStyle w:val="ListParagraph"/>
        <w:rPr>
          <w:sz w:val="26"/>
          <w:szCs w:val="26"/>
        </w:rPr>
      </w:pPr>
      <w:r>
        <w:rPr>
          <w:noProof/>
        </w:rPr>
        <w:drawing>
          <wp:inline distT="0" distB="0" distL="0" distR="0" wp14:anchorId="7B9AE3A5" wp14:editId="3266838F">
            <wp:extent cx="5943600" cy="1593850"/>
            <wp:effectExtent l="0" t="0" r="0" b="6350"/>
            <wp:docPr id="190910169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101698" name="Picture 1" descr="Text&#10;&#10;Description automatically generated"/>
                    <pic:cNvPicPr/>
                  </pic:nvPicPr>
                  <pic:blipFill>
                    <a:blip r:embed="rId11"/>
                    <a:stretch>
                      <a:fillRect/>
                    </a:stretch>
                  </pic:blipFill>
                  <pic:spPr>
                    <a:xfrm>
                      <a:off x="0" y="0"/>
                      <a:ext cx="5943600" cy="1593850"/>
                    </a:xfrm>
                    <a:prstGeom prst="rect">
                      <a:avLst/>
                    </a:prstGeom>
                  </pic:spPr>
                </pic:pic>
              </a:graphicData>
            </a:graphic>
          </wp:inline>
        </w:drawing>
      </w:r>
    </w:p>
    <w:p w14:paraId="76455583" w14:textId="0ACC5571" w:rsidR="00C54A7C" w:rsidRPr="00B90B3F" w:rsidRDefault="00C54A7C" w:rsidP="00B90B3F">
      <w:pPr>
        <w:rPr>
          <w:sz w:val="26"/>
          <w:szCs w:val="26"/>
        </w:rPr>
      </w:pPr>
      <w:r>
        <w:rPr>
          <w:sz w:val="26"/>
          <w:szCs w:val="26"/>
        </w:rPr>
        <w:t>Non-CAISO load generally supported the initial RSEE Phase 2 proposal, as represented by the comment below:</w:t>
      </w:r>
    </w:p>
    <w:p w14:paraId="4482FD19" w14:textId="634841CB" w:rsidR="00185B9E" w:rsidRDefault="00185B9E" w:rsidP="00185B9E">
      <w:pPr>
        <w:pStyle w:val="ListParagraph"/>
        <w:numPr>
          <w:ilvl w:val="0"/>
          <w:numId w:val="1"/>
        </w:numPr>
        <w:rPr>
          <w:sz w:val="26"/>
          <w:szCs w:val="26"/>
        </w:rPr>
      </w:pPr>
      <w:proofErr w:type="spellStart"/>
      <w:r>
        <w:rPr>
          <w:sz w:val="26"/>
          <w:szCs w:val="26"/>
        </w:rPr>
        <w:t>PowerEx</w:t>
      </w:r>
      <w:proofErr w:type="spellEnd"/>
      <w:r>
        <w:rPr>
          <w:sz w:val="26"/>
          <w:szCs w:val="26"/>
        </w:rPr>
        <w:t>:</w:t>
      </w:r>
      <w:r w:rsidR="00E91B34">
        <w:rPr>
          <w:rStyle w:val="FootnoteReference"/>
          <w:sz w:val="26"/>
          <w:szCs w:val="26"/>
        </w:rPr>
        <w:footnoteReference w:id="5"/>
      </w:r>
    </w:p>
    <w:p w14:paraId="7B886DA4" w14:textId="007116FB" w:rsidR="00185B9E" w:rsidRDefault="00185B9E" w:rsidP="00E91B34">
      <w:pPr>
        <w:pStyle w:val="ListParagraph"/>
        <w:jc w:val="both"/>
        <w:rPr>
          <w:sz w:val="26"/>
          <w:szCs w:val="26"/>
        </w:rPr>
      </w:pPr>
      <w:r>
        <w:rPr>
          <w:noProof/>
        </w:rPr>
        <w:drawing>
          <wp:inline distT="0" distB="0" distL="0" distR="0" wp14:anchorId="0D8B40BA" wp14:editId="0BB18942">
            <wp:extent cx="5943600" cy="4116070"/>
            <wp:effectExtent l="0" t="0" r="0" b="0"/>
            <wp:docPr id="134924859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248596" name="Picture 1" descr="Text&#10;&#10;Description automatically generated"/>
                    <pic:cNvPicPr/>
                  </pic:nvPicPr>
                  <pic:blipFill>
                    <a:blip r:embed="rId12"/>
                    <a:stretch>
                      <a:fillRect/>
                    </a:stretch>
                  </pic:blipFill>
                  <pic:spPr>
                    <a:xfrm>
                      <a:off x="0" y="0"/>
                      <a:ext cx="5943600" cy="4116070"/>
                    </a:xfrm>
                    <a:prstGeom prst="rect">
                      <a:avLst/>
                    </a:prstGeom>
                  </pic:spPr>
                </pic:pic>
              </a:graphicData>
            </a:graphic>
          </wp:inline>
        </w:drawing>
      </w:r>
    </w:p>
    <w:p w14:paraId="7EC5B5CE" w14:textId="77777777" w:rsidR="001079E6" w:rsidRDefault="001079E6"/>
    <w:p w14:paraId="4558F5CC" w14:textId="0DD1F3D4" w:rsidR="006C7AD4" w:rsidRPr="00F47754" w:rsidRDefault="00F47754">
      <w:pPr>
        <w:rPr>
          <w:sz w:val="26"/>
          <w:szCs w:val="26"/>
        </w:rPr>
      </w:pPr>
      <w:r>
        <w:rPr>
          <w:sz w:val="26"/>
          <w:szCs w:val="26"/>
        </w:rPr>
        <w:lastRenderedPageBreak/>
        <w:t xml:space="preserve">Primarily in </w:t>
      </w:r>
      <w:r w:rsidR="001079E6" w:rsidRPr="00F47754">
        <w:rPr>
          <w:sz w:val="26"/>
          <w:szCs w:val="26"/>
        </w:rPr>
        <w:t>response to entities that have argued that the failure consequences should be mandatory</w:t>
      </w:r>
      <w:r w:rsidR="006C7AD4">
        <w:rPr>
          <w:sz w:val="26"/>
          <w:szCs w:val="26"/>
        </w:rPr>
        <w:t xml:space="preserve"> (e.g., </w:t>
      </w:r>
      <w:proofErr w:type="spellStart"/>
      <w:r w:rsidR="006C7AD4">
        <w:rPr>
          <w:sz w:val="26"/>
          <w:szCs w:val="26"/>
        </w:rPr>
        <w:t>PowerEx</w:t>
      </w:r>
      <w:proofErr w:type="spellEnd"/>
      <w:r w:rsidR="006C7AD4">
        <w:rPr>
          <w:sz w:val="26"/>
          <w:szCs w:val="26"/>
        </w:rPr>
        <w:t>)</w:t>
      </w:r>
      <w:r w:rsidR="001079E6" w:rsidRPr="00F47754">
        <w:rPr>
          <w:sz w:val="26"/>
          <w:szCs w:val="26"/>
        </w:rPr>
        <w:t xml:space="preserve">, CAISO </w:t>
      </w:r>
      <w:r>
        <w:rPr>
          <w:sz w:val="26"/>
          <w:szCs w:val="26"/>
        </w:rPr>
        <w:t xml:space="preserve">proposed in its tariff filing to sunset this energy assistance program on December 31, </w:t>
      </w:r>
      <w:proofErr w:type="gramStart"/>
      <w:r>
        <w:rPr>
          <w:sz w:val="26"/>
          <w:szCs w:val="26"/>
        </w:rPr>
        <w:t>202</w:t>
      </w:r>
      <w:r w:rsidR="006C7AD4">
        <w:rPr>
          <w:sz w:val="26"/>
          <w:szCs w:val="26"/>
        </w:rPr>
        <w:t>5</w:t>
      </w:r>
      <w:proofErr w:type="gramEnd"/>
      <w:r>
        <w:rPr>
          <w:sz w:val="26"/>
          <w:szCs w:val="26"/>
        </w:rPr>
        <w:t xml:space="preserve"> and committed to considering a </w:t>
      </w:r>
      <w:r w:rsidR="006C7AD4">
        <w:rPr>
          <w:sz w:val="26"/>
          <w:szCs w:val="26"/>
        </w:rPr>
        <w:t xml:space="preserve">mandatory in-market </w:t>
      </w:r>
      <w:r>
        <w:rPr>
          <w:sz w:val="26"/>
          <w:szCs w:val="26"/>
        </w:rPr>
        <w:t>program in its RSE Phase 3 initiative</w:t>
      </w:r>
      <w:r w:rsidR="00920FFA">
        <w:rPr>
          <w:sz w:val="26"/>
          <w:szCs w:val="26"/>
        </w:rPr>
        <w:t>.  In its memo to its Board, CAISO stated that</w:t>
      </w:r>
      <w:r w:rsidR="00B90B3F">
        <w:rPr>
          <w:sz w:val="26"/>
          <w:szCs w:val="26"/>
        </w:rPr>
        <w:t xml:space="preserve"> a minority of stakeholders oppose the proposed assistance energy product being applied after-the-fact, maintain</w:t>
      </w:r>
      <w:r w:rsidR="00716F04">
        <w:rPr>
          <w:sz w:val="26"/>
          <w:szCs w:val="26"/>
        </w:rPr>
        <w:t>ing</w:t>
      </w:r>
      <w:r w:rsidR="00B90B3F">
        <w:rPr>
          <w:sz w:val="26"/>
          <w:szCs w:val="26"/>
        </w:rPr>
        <w:t xml:space="preserve"> that “the proposed design lessens the financial consequences of a balancing authority area may be exposed to resulting from being insufficient.”</w:t>
      </w:r>
      <w:r w:rsidR="00716F04">
        <w:rPr>
          <w:rStyle w:val="FootnoteReference"/>
          <w:sz w:val="26"/>
          <w:szCs w:val="26"/>
        </w:rPr>
        <w:footnoteReference w:id="6"/>
      </w:r>
      <w:r w:rsidR="00B90B3F">
        <w:rPr>
          <w:sz w:val="26"/>
          <w:szCs w:val="26"/>
        </w:rPr>
        <w:t xml:space="preserve">  CAISO noted that </w:t>
      </w:r>
      <w:r w:rsidR="00E91B34">
        <w:rPr>
          <w:sz w:val="26"/>
          <w:szCs w:val="26"/>
        </w:rPr>
        <w:t xml:space="preserve">it </w:t>
      </w:r>
      <w:r w:rsidR="00B90B3F">
        <w:rPr>
          <w:sz w:val="26"/>
          <w:szCs w:val="26"/>
        </w:rPr>
        <w:t xml:space="preserve">while it </w:t>
      </w:r>
      <w:r w:rsidR="00E91B34">
        <w:rPr>
          <w:sz w:val="26"/>
          <w:szCs w:val="26"/>
        </w:rPr>
        <w:t>“</w:t>
      </w:r>
      <w:r w:rsidR="00B90B3F">
        <w:rPr>
          <w:sz w:val="26"/>
          <w:szCs w:val="26"/>
        </w:rPr>
        <w:t>agree</w:t>
      </w:r>
      <w:r w:rsidR="00E91B34">
        <w:rPr>
          <w:sz w:val="26"/>
          <w:szCs w:val="26"/>
        </w:rPr>
        <w:t>s</w:t>
      </w:r>
      <w:r w:rsidR="00B90B3F">
        <w:rPr>
          <w:sz w:val="26"/>
          <w:szCs w:val="26"/>
        </w:rPr>
        <w:t xml:space="preserve"> with this sentiment,</w:t>
      </w:r>
      <w:r w:rsidR="00E91B34">
        <w:rPr>
          <w:sz w:val="26"/>
          <w:szCs w:val="26"/>
        </w:rPr>
        <w:t>”</w:t>
      </w:r>
      <w:r w:rsidR="00B90B3F">
        <w:rPr>
          <w:sz w:val="26"/>
          <w:szCs w:val="26"/>
        </w:rPr>
        <w:t xml:space="preserve"> it did not believe additional changes could be implemented by summer of 2023 and indicated</w:t>
      </w:r>
      <w:r w:rsidR="00E91B34">
        <w:rPr>
          <w:sz w:val="26"/>
          <w:szCs w:val="26"/>
        </w:rPr>
        <w:t xml:space="preserve"> that,</w:t>
      </w:r>
      <w:r w:rsidR="00B90B3F">
        <w:rPr>
          <w:sz w:val="26"/>
          <w:szCs w:val="26"/>
        </w:rPr>
        <w:t xml:space="preserve"> “</w:t>
      </w:r>
      <w:r w:rsidR="00716F04">
        <w:rPr>
          <w:sz w:val="26"/>
          <w:szCs w:val="26"/>
        </w:rPr>
        <w:t>[m]</w:t>
      </w:r>
      <w:proofErr w:type="spellStart"/>
      <w:r w:rsidR="00B90B3F">
        <w:rPr>
          <w:sz w:val="26"/>
          <w:szCs w:val="26"/>
        </w:rPr>
        <w:t>anagement</w:t>
      </w:r>
      <w:proofErr w:type="spellEnd"/>
      <w:r w:rsidR="00B90B3F">
        <w:rPr>
          <w:sz w:val="26"/>
          <w:szCs w:val="26"/>
        </w:rPr>
        <w:t xml:space="preserve"> intends to explore a more robust assistance solution that is priced through the market in a subsequent stakeholder process.”</w:t>
      </w:r>
      <w:r w:rsidR="00716F04">
        <w:rPr>
          <w:rStyle w:val="FootnoteReference"/>
          <w:sz w:val="26"/>
          <w:szCs w:val="26"/>
        </w:rPr>
        <w:footnoteReference w:id="7"/>
      </w:r>
      <w:r w:rsidR="00B90B3F">
        <w:rPr>
          <w:sz w:val="26"/>
          <w:szCs w:val="26"/>
        </w:rPr>
        <w:t xml:space="preserve"> </w:t>
      </w:r>
    </w:p>
    <w:p w14:paraId="11E31F15" w14:textId="77777777" w:rsidR="00690205" w:rsidRPr="00690205" w:rsidRDefault="00FD4932">
      <w:pPr>
        <w:rPr>
          <w:b/>
          <w:bCs/>
          <w:sz w:val="26"/>
          <w:szCs w:val="26"/>
        </w:rPr>
      </w:pPr>
      <w:r w:rsidRPr="00690205">
        <w:rPr>
          <w:b/>
          <w:bCs/>
          <w:sz w:val="26"/>
          <w:szCs w:val="26"/>
        </w:rPr>
        <w:t>ED Staff</w:t>
      </w:r>
      <w:r w:rsidR="00690205" w:rsidRPr="00690205">
        <w:rPr>
          <w:b/>
          <w:bCs/>
          <w:sz w:val="26"/>
          <w:szCs w:val="26"/>
        </w:rPr>
        <w:t xml:space="preserve"> Oppose CAISO Opting into the Energy Assistance Program Through this BPM Process</w:t>
      </w:r>
    </w:p>
    <w:p w14:paraId="23397540" w14:textId="3CF44332" w:rsidR="00690205" w:rsidRDefault="00690205">
      <w:pPr>
        <w:rPr>
          <w:sz w:val="26"/>
          <w:szCs w:val="26"/>
        </w:rPr>
      </w:pPr>
      <w:r>
        <w:rPr>
          <w:sz w:val="26"/>
          <w:szCs w:val="26"/>
        </w:rPr>
        <w:t>E</w:t>
      </w:r>
      <w:r w:rsidR="005F10CD">
        <w:rPr>
          <w:sz w:val="26"/>
          <w:szCs w:val="26"/>
        </w:rPr>
        <w:t>D</w:t>
      </w:r>
      <w:r>
        <w:rPr>
          <w:sz w:val="26"/>
          <w:szCs w:val="26"/>
        </w:rPr>
        <w:t xml:space="preserve"> staff </w:t>
      </w:r>
      <w:r w:rsidR="005F10CD">
        <w:rPr>
          <w:sz w:val="26"/>
          <w:szCs w:val="26"/>
        </w:rPr>
        <w:t>ha</w:t>
      </w:r>
      <w:r w:rsidR="00B90B3F">
        <w:rPr>
          <w:sz w:val="26"/>
          <w:szCs w:val="26"/>
        </w:rPr>
        <w:t>s</w:t>
      </w:r>
      <w:r w:rsidR="005F10CD">
        <w:rPr>
          <w:sz w:val="26"/>
          <w:szCs w:val="26"/>
        </w:rPr>
        <w:t xml:space="preserve"> concerns with</w:t>
      </w:r>
      <w:r>
        <w:rPr>
          <w:sz w:val="26"/>
          <w:szCs w:val="26"/>
        </w:rPr>
        <w:t xml:space="preserve"> CAISO opting into the </w:t>
      </w:r>
      <w:r w:rsidR="00CA6881">
        <w:rPr>
          <w:sz w:val="26"/>
          <w:szCs w:val="26"/>
        </w:rPr>
        <w:t>e</w:t>
      </w:r>
      <w:r>
        <w:rPr>
          <w:sz w:val="26"/>
          <w:szCs w:val="26"/>
        </w:rPr>
        <w:t xml:space="preserve">nergy </w:t>
      </w:r>
      <w:r w:rsidR="00CA6881">
        <w:rPr>
          <w:sz w:val="26"/>
          <w:szCs w:val="26"/>
        </w:rPr>
        <w:t>a</w:t>
      </w:r>
      <w:r>
        <w:rPr>
          <w:sz w:val="26"/>
          <w:szCs w:val="26"/>
        </w:rPr>
        <w:t xml:space="preserve">ssistance program through this BPM process for </w:t>
      </w:r>
      <w:proofErr w:type="gramStart"/>
      <w:r>
        <w:rPr>
          <w:sz w:val="26"/>
          <w:szCs w:val="26"/>
        </w:rPr>
        <w:t>a number of</w:t>
      </w:r>
      <w:proofErr w:type="gramEnd"/>
      <w:r>
        <w:rPr>
          <w:sz w:val="26"/>
          <w:szCs w:val="26"/>
        </w:rPr>
        <w:t xml:space="preserve"> reasons, discussed further below</w:t>
      </w:r>
      <w:r w:rsidR="00B90B3F">
        <w:rPr>
          <w:sz w:val="26"/>
          <w:szCs w:val="26"/>
        </w:rPr>
        <w:t>.</w:t>
      </w:r>
    </w:p>
    <w:p w14:paraId="1E997D56" w14:textId="6F2D6B63" w:rsidR="0080030F" w:rsidRPr="0080030F" w:rsidRDefault="0080030F" w:rsidP="0080030F">
      <w:pPr>
        <w:rPr>
          <w:i/>
          <w:iCs/>
          <w:sz w:val="26"/>
          <w:szCs w:val="26"/>
        </w:rPr>
      </w:pPr>
      <w:r w:rsidRPr="0080030F">
        <w:rPr>
          <w:i/>
          <w:iCs/>
          <w:sz w:val="26"/>
          <w:szCs w:val="26"/>
        </w:rPr>
        <w:t>Violates Rule of Reason</w:t>
      </w:r>
    </w:p>
    <w:p w14:paraId="1FF66A75" w14:textId="76529BB3" w:rsidR="00873DA7" w:rsidRPr="0080030F" w:rsidRDefault="00690205" w:rsidP="0080030F">
      <w:pPr>
        <w:rPr>
          <w:sz w:val="26"/>
          <w:szCs w:val="26"/>
        </w:rPr>
      </w:pPr>
      <w:r w:rsidRPr="0080030F">
        <w:rPr>
          <w:sz w:val="26"/>
          <w:szCs w:val="26"/>
        </w:rPr>
        <w:t xml:space="preserve">First, </w:t>
      </w:r>
      <w:r w:rsidR="00873DA7" w:rsidRPr="0080030F">
        <w:rPr>
          <w:sz w:val="26"/>
          <w:szCs w:val="26"/>
        </w:rPr>
        <w:t>the determination of whether and when CAISO will opt into the energy assistance program violates the rule of reason policy, which requires that all practices that significantly affect rates, terms and conditions of service to be on file with FERC</w:t>
      </w:r>
      <w:r w:rsidR="00475ED4">
        <w:rPr>
          <w:sz w:val="26"/>
          <w:szCs w:val="26"/>
        </w:rPr>
        <w:t>, since</w:t>
      </w:r>
      <w:r w:rsidR="00873DA7" w:rsidRPr="0080030F">
        <w:rPr>
          <w:sz w:val="26"/>
          <w:szCs w:val="26"/>
        </w:rPr>
        <w:t xml:space="preserve"> the decision of whether and when to opt into the energy assistance program significantly affects the rates, terms, and conditions of service</w:t>
      </w:r>
      <w:r w:rsidR="00475ED4">
        <w:rPr>
          <w:sz w:val="26"/>
          <w:szCs w:val="26"/>
        </w:rPr>
        <w:t>,</w:t>
      </w:r>
      <w:r w:rsidR="00873DA7" w:rsidRPr="0080030F">
        <w:rPr>
          <w:sz w:val="26"/>
          <w:szCs w:val="26"/>
        </w:rPr>
        <w:t xml:space="preserve"> and</w:t>
      </w:r>
      <w:r w:rsidR="00475ED4">
        <w:rPr>
          <w:sz w:val="26"/>
          <w:szCs w:val="26"/>
        </w:rPr>
        <w:t xml:space="preserve"> </w:t>
      </w:r>
      <w:r w:rsidR="00873DA7" w:rsidRPr="0080030F">
        <w:rPr>
          <w:sz w:val="26"/>
          <w:szCs w:val="26"/>
        </w:rPr>
        <w:t>any modifications that CAISO makes to the conditions of whether and when CAISO should opt into the energy assistance</w:t>
      </w:r>
      <w:r w:rsidR="005F10CD">
        <w:rPr>
          <w:sz w:val="26"/>
          <w:szCs w:val="26"/>
        </w:rPr>
        <w:t xml:space="preserve"> program</w:t>
      </w:r>
      <w:r w:rsidR="00873DA7" w:rsidRPr="0080030F">
        <w:rPr>
          <w:sz w:val="26"/>
          <w:szCs w:val="26"/>
        </w:rPr>
        <w:t xml:space="preserve"> could also affect rates, terms, and conditions.  Under </w:t>
      </w:r>
      <w:r w:rsidR="00CA6881" w:rsidRPr="0080030F">
        <w:rPr>
          <w:sz w:val="26"/>
          <w:szCs w:val="26"/>
        </w:rPr>
        <w:t>FERC</w:t>
      </w:r>
      <w:r w:rsidR="00873DA7" w:rsidRPr="0080030F">
        <w:rPr>
          <w:sz w:val="26"/>
          <w:szCs w:val="26"/>
        </w:rPr>
        <w:t>’s rule of reason policy, provisions that “significantly affect rates, terms, and conditions of service, are readily susceptible of specification, and are not generally understood . . . must be included in the Tariff.”</w:t>
      </w:r>
      <w:r w:rsidR="00873DA7" w:rsidRPr="00873DA7">
        <w:rPr>
          <w:rStyle w:val="FootnoteReference"/>
          <w:sz w:val="26"/>
          <w:szCs w:val="26"/>
        </w:rPr>
        <w:footnoteReference w:id="8"/>
      </w:r>
      <w:r w:rsidR="00873DA7" w:rsidRPr="0080030F">
        <w:rPr>
          <w:sz w:val="26"/>
          <w:szCs w:val="26"/>
        </w:rPr>
        <w:t xml:space="preserve">  In contrast, “items better classified as implementation details may be included only in the business practice manual[s].”</w:t>
      </w:r>
      <w:r w:rsidR="00873DA7" w:rsidRPr="00873DA7">
        <w:rPr>
          <w:rStyle w:val="FootnoteReference"/>
          <w:sz w:val="26"/>
          <w:szCs w:val="26"/>
        </w:rPr>
        <w:footnoteReference w:id="9"/>
      </w:r>
      <w:r w:rsidR="00873DA7" w:rsidRPr="0080030F">
        <w:rPr>
          <w:sz w:val="26"/>
          <w:szCs w:val="26"/>
        </w:rPr>
        <w:t xml:space="preserve">  Whether and when to opt into an energy assistance </w:t>
      </w:r>
      <w:r w:rsidR="00716F04">
        <w:rPr>
          <w:sz w:val="26"/>
          <w:szCs w:val="26"/>
        </w:rPr>
        <w:t xml:space="preserve">program </w:t>
      </w:r>
      <w:r w:rsidR="00873DA7" w:rsidRPr="0080030F">
        <w:rPr>
          <w:sz w:val="26"/>
          <w:szCs w:val="26"/>
        </w:rPr>
        <w:t>is not just an implementation detail, because it will affect when and how much customers will pay, what they will be paying for</w:t>
      </w:r>
      <w:r w:rsidR="00475ED4">
        <w:rPr>
          <w:sz w:val="26"/>
          <w:szCs w:val="26"/>
        </w:rPr>
        <w:t>,</w:t>
      </w:r>
      <w:r w:rsidR="00873DA7" w:rsidRPr="0080030F">
        <w:rPr>
          <w:sz w:val="26"/>
          <w:szCs w:val="26"/>
        </w:rPr>
        <w:t xml:space="preserve"> and </w:t>
      </w:r>
      <w:r w:rsidR="00E110DE" w:rsidRPr="0080030F">
        <w:rPr>
          <w:sz w:val="26"/>
          <w:szCs w:val="26"/>
        </w:rPr>
        <w:t xml:space="preserve">under what </w:t>
      </w:r>
      <w:r w:rsidR="00873DA7" w:rsidRPr="0080030F">
        <w:rPr>
          <w:sz w:val="26"/>
          <w:szCs w:val="26"/>
        </w:rPr>
        <w:t xml:space="preserve">conditions </w:t>
      </w:r>
      <w:r w:rsidR="00E110DE" w:rsidRPr="0080030F">
        <w:rPr>
          <w:sz w:val="26"/>
          <w:szCs w:val="26"/>
        </w:rPr>
        <w:t xml:space="preserve">they will be subject to these penalties. Thus, this </w:t>
      </w:r>
      <w:proofErr w:type="gramStart"/>
      <w:r w:rsidR="00E110DE" w:rsidRPr="0080030F">
        <w:rPr>
          <w:sz w:val="26"/>
          <w:szCs w:val="26"/>
        </w:rPr>
        <w:t>not</w:t>
      </w:r>
      <w:proofErr w:type="gramEnd"/>
      <w:r w:rsidR="00E110DE" w:rsidRPr="0080030F">
        <w:rPr>
          <w:sz w:val="26"/>
          <w:szCs w:val="26"/>
        </w:rPr>
        <w:t xml:space="preserve"> an implementation detail that can be included in CAISO’s BPM.</w:t>
      </w:r>
      <w:r w:rsidR="00873DA7" w:rsidRPr="0080030F">
        <w:rPr>
          <w:sz w:val="26"/>
          <w:szCs w:val="26"/>
        </w:rPr>
        <w:t xml:space="preserve">  </w:t>
      </w:r>
    </w:p>
    <w:p w14:paraId="3AB1348A" w14:textId="56770992" w:rsidR="00D63673" w:rsidRPr="0080030F" w:rsidRDefault="0080030F" w:rsidP="0080030F">
      <w:pPr>
        <w:rPr>
          <w:i/>
          <w:iCs/>
          <w:sz w:val="26"/>
          <w:szCs w:val="26"/>
        </w:rPr>
      </w:pPr>
      <w:r w:rsidRPr="0080030F">
        <w:rPr>
          <w:i/>
          <w:iCs/>
          <w:sz w:val="26"/>
          <w:szCs w:val="26"/>
        </w:rPr>
        <w:lastRenderedPageBreak/>
        <w:t>Results in Double Payment</w:t>
      </w:r>
    </w:p>
    <w:p w14:paraId="5F7933B5" w14:textId="0CEAAB2B" w:rsidR="00475ED4" w:rsidRDefault="00873DA7" w:rsidP="0080030F">
      <w:pPr>
        <w:rPr>
          <w:sz w:val="26"/>
          <w:szCs w:val="26"/>
        </w:rPr>
      </w:pPr>
      <w:r w:rsidRPr="0080030F">
        <w:rPr>
          <w:sz w:val="26"/>
          <w:szCs w:val="26"/>
        </w:rPr>
        <w:t xml:space="preserve">Second, </w:t>
      </w:r>
      <w:r w:rsidR="00BF2EA5" w:rsidRPr="0080030F">
        <w:rPr>
          <w:sz w:val="26"/>
          <w:szCs w:val="26"/>
        </w:rPr>
        <w:t xml:space="preserve">ED staff </w:t>
      </w:r>
      <w:r w:rsidR="005F10CD">
        <w:rPr>
          <w:sz w:val="26"/>
          <w:szCs w:val="26"/>
        </w:rPr>
        <w:t>disagree</w:t>
      </w:r>
      <w:r w:rsidR="00716F04">
        <w:rPr>
          <w:sz w:val="26"/>
          <w:szCs w:val="26"/>
        </w:rPr>
        <w:t>s</w:t>
      </w:r>
      <w:r w:rsidR="005F10CD">
        <w:rPr>
          <w:sz w:val="26"/>
          <w:szCs w:val="26"/>
        </w:rPr>
        <w:t xml:space="preserve"> with</w:t>
      </w:r>
      <w:r w:rsidR="00BF2EA5" w:rsidRPr="0080030F">
        <w:rPr>
          <w:sz w:val="26"/>
          <w:szCs w:val="26"/>
        </w:rPr>
        <w:t xml:space="preserve"> CAISO opting into this program </w:t>
      </w:r>
      <w:r w:rsidR="00D63673" w:rsidRPr="0080030F">
        <w:rPr>
          <w:sz w:val="26"/>
          <w:szCs w:val="26"/>
        </w:rPr>
        <w:t xml:space="preserve">at this time </w:t>
      </w:r>
      <w:r w:rsidR="00BF2EA5" w:rsidRPr="0080030F">
        <w:rPr>
          <w:sz w:val="26"/>
          <w:szCs w:val="26"/>
        </w:rPr>
        <w:t xml:space="preserve">because we are concerned about the </w:t>
      </w:r>
      <w:r w:rsidR="00DD2179" w:rsidRPr="0080030F">
        <w:rPr>
          <w:sz w:val="26"/>
          <w:szCs w:val="26"/>
        </w:rPr>
        <w:t xml:space="preserve">accuracy of the RSE test itself and </w:t>
      </w:r>
      <w:r w:rsidR="00475ED4">
        <w:rPr>
          <w:sz w:val="26"/>
          <w:szCs w:val="26"/>
        </w:rPr>
        <w:t xml:space="preserve">the high likelihood </w:t>
      </w:r>
      <w:proofErr w:type="gramStart"/>
      <w:r w:rsidR="00475ED4">
        <w:rPr>
          <w:sz w:val="26"/>
          <w:szCs w:val="26"/>
        </w:rPr>
        <w:t>in</w:t>
      </w:r>
      <w:proofErr w:type="gramEnd"/>
      <w:r w:rsidR="00475ED4">
        <w:rPr>
          <w:sz w:val="26"/>
          <w:szCs w:val="26"/>
        </w:rPr>
        <w:t xml:space="preserve"> </w:t>
      </w:r>
      <w:r w:rsidR="00BF2EA5" w:rsidRPr="0080030F">
        <w:rPr>
          <w:sz w:val="26"/>
          <w:szCs w:val="26"/>
        </w:rPr>
        <w:t>double payment</w:t>
      </w:r>
      <w:r w:rsidR="0080030F">
        <w:rPr>
          <w:sz w:val="26"/>
          <w:szCs w:val="26"/>
        </w:rPr>
        <w:t>s</w:t>
      </w:r>
      <w:r w:rsidR="00475ED4">
        <w:rPr>
          <w:sz w:val="26"/>
          <w:szCs w:val="26"/>
        </w:rPr>
        <w:t xml:space="preserve"> based on the current RSE test design</w:t>
      </w:r>
      <w:r w:rsidR="00BF2EA5" w:rsidRPr="0080030F">
        <w:rPr>
          <w:sz w:val="26"/>
          <w:szCs w:val="26"/>
        </w:rPr>
        <w:t>.</w:t>
      </w:r>
      <w:r w:rsidR="00DD2179" w:rsidRPr="0080030F">
        <w:rPr>
          <w:sz w:val="26"/>
          <w:szCs w:val="26"/>
        </w:rPr>
        <w:t xml:space="preserve">  </w:t>
      </w:r>
      <w:proofErr w:type="gramStart"/>
      <w:r w:rsidR="00DD2179" w:rsidRPr="0080030F">
        <w:rPr>
          <w:sz w:val="26"/>
          <w:szCs w:val="26"/>
        </w:rPr>
        <w:t>In particular, ED</w:t>
      </w:r>
      <w:proofErr w:type="gramEnd"/>
      <w:r w:rsidR="00DD2179" w:rsidRPr="0080030F">
        <w:rPr>
          <w:sz w:val="26"/>
          <w:szCs w:val="26"/>
        </w:rPr>
        <w:t xml:space="preserve"> staff</w:t>
      </w:r>
      <w:r w:rsidR="0080030F">
        <w:rPr>
          <w:sz w:val="26"/>
          <w:szCs w:val="26"/>
        </w:rPr>
        <w:t xml:space="preserve"> is</w:t>
      </w:r>
      <w:r w:rsidR="00DD2179" w:rsidRPr="0080030F">
        <w:rPr>
          <w:sz w:val="26"/>
          <w:szCs w:val="26"/>
        </w:rPr>
        <w:t xml:space="preserve"> concerned because the CAISO RSE does not </w:t>
      </w:r>
      <w:r w:rsidR="00475ED4">
        <w:rPr>
          <w:sz w:val="26"/>
          <w:szCs w:val="26"/>
        </w:rPr>
        <w:t>explicitly</w:t>
      </w:r>
      <w:r w:rsidR="00475ED4" w:rsidRPr="0080030F">
        <w:rPr>
          <w:sz w:val="26"/>
          <w:szCs w:val="26"/>
        </w:rPr>
        <w:t xml:space="preserve"> </w:t>
      </w:r>
      <w:r w:rsidR="00DD2179" w:rsidRPr="0080030F">
        <w:rPr>
          <w:sz w:val="26"/>
          <w:szCs w:val="26"/>
        </w:rPr>
        <w:t>take into account the</w:t>
      </w:r>
      <w:r w:rsidR="00783911">
        <w:rPr>
          <w:sz w:val="26"/>
          <w:szCs w:val="26"/>
        </w:rPr>
        <w:t xml:space="preserve"> CPUC’s</w:t>
      </w:r>
      <w:r w:rsidR="00DD2179" w:rsidRPr="0080030F">
        <w:rPr>
          <w:sz w:val="26"/>
          <w:szCs w:val="26"/>
        </w:rPr>
        <w:t xml:space="preserve"> reliability </w:t>
      </w:r>
      <w:r w:rsidR="00783911">
        <w:rPr>
          <w:sz w:val="26"/>
          <w:szCs w:val="26"/>
        </w:rPr>
        <w:t>Base Interruptible Program (BIP) that its</w:t>
      </w:r>
      <w:r w:rsidR="00475ED4">
        <w:rPr>
          <w:sz w:val="26"/>
          <w:szCs w:val="26"/>
        </w:rPr>
        <w:t xml:space="preserve"> customers are paying for and that </w:t>
      </w:r>
      <w:r w:rsidR="00DD2179" w:rsidRPr="0080030F">
        <w:rPr>
          <w:sz w:val="26"/>
          <w:szCs w:val="26"/>
        </w:rPr>
        <w:t xml:space="preserve">are typically available to the CAISO during stressed system conditions, precisely those conditions under which CAISO might fail the RSE and during which these penalty provisions could apply.  </w:t>
      </w:r>
    </w:p>
    <w:p w14:paraId="499CE90C" w14:textId="0722871E" w:rsidR="004E2386" w:rsidRDefault="00DD2179" w:rsidP="0080030F">
      <w:pPr>
        <w:rPr>
          <w:sz w:val="26"/>
          <w:szCs w:val="26"/>
        </w:rPr>
      </w:pPr>
      <w:r w:rsidRPr="0080030F">
        <w:rPr>
          <w:sz w:val="26"/>
          <w:szCs w:val="26"/>
        </w:rPr>
        <w:t xml:space="preserve">For example, </w:t>
      </w:r>
      <w:r w:rsidR="006D5396" w:rsidRPr="0080030F">
        <w:rPr>
          <w:sz w:val="26"/>
          <w:szCs w:val="26"/>
        </w:rPr>
        <w:t xml:space="preserve">assume the CAISO has 1,000 MW of </w:t>
      </w:r>
      <w:r w:rsidR="00783911">
        <w:rPr>
          <w:sz w:val="26"/>
          <w:szCs w:val="26"/>
        </w:rPr>
        <w:t>BIP</w:t>
      </w:r>
      <w:r w:rsidR="006D5396" w:rsidRPr="0080030F">
        <w:rPr>
          <w:sz w:val="26"/>
          <w:szCs w:val="26"/>
        </w:rPr>
        <w:t xml:space="preserve"> that is only activated in an EEA-2, but at 2 pm, CAISO anticipates an EEA-2 at 5 pm</w:t>
      </w:r>
      <w:r w:rsidR="006508E5">
        <w:rPr>
          <w:sz w:val="26"/>
          <w:szCs w:val="26"/>
        </w:rPr>
        <w:t>,</w:t>
      </w:r>
      <w:r w:rsidR="006D5396" w:rsidRPr="0080030F">
        <w:rPr>
          <w:sz w:val="26"/>
          <w:szCs w:val="26"/>
        </w:rPr>
        <w:t xml:space="preserve"> activates </w:t>
      </w:r>
      <w:r w:rsidR="00783911">
        <w:rPr>
          <w:sz w:val="26"/>
          <w:szCs w:val="26"/>
        </w:rPr>
        <w:t>BIP</w:t>
      </w:r>
      <w:r w:rsidR="006508E5">
        <w:rPr>
          <w:sz w:val="26"/>
          <w:szCs w:val="26"/>
        </w:rPr>
        <w:t xml:space="preserve"> at</w:t>
      </w:r>
      <w:r w:rsidR="006D5396" w:rsidRPr="0080030F">
        <w:rPr>
          <w:sz w:val="26"/>
          <w:szCs w:val="26"/>
        </w:rPr>
        <w:t xml:space="preserve"> 5 pm and calls an EEA-2 at </w:t>
      </w:r>
      <w:r w:rsidR="006508E5">
        <w:rPr>
          <w:sz w:val="26"/>
          <w:szCs w:val="26"/>
        </w:rPr>
        <w:t>5 pm</w:t>
      </w:r>
      <w:r w:rsidR="006D5396" w:rsidRPr="0080030F">
        <w:rPr>
          <w:sz w:val="26"/>
          <w:szCs w:val="26"/>
        </w:rPr>
        <w:t xml:space="preserve">. In this case, the 5, 5:15, 5:30, and possibly the 5:45 RSE would not include the </w:t>
      </w:r>
      <w:r w:rsidR="00783911">
        <w:rPr>
          <w:sz w:val="26"/>
          <w:szCs w:val="26"/>
        </w:rPr>
        <w:t>BIP program</w:t>
      </w:r>
      <w:r w:rsidR="006D5396" w:rsidRPr="0080030F">
        <w:rPr>
          <w:sz w:val="26"/>
          <w:szCs w:val="26"/>
        </w:rPr>
        <w:t xml:space="preserve">, since the RSE test occurs at T-40, or before the hour in question and before the </w:t>
      </w:r>
      <w:r w:rsidR="00783911">
        <w:rPr>
          <w:sz w:val="26"/>
          <w:szCs w:val="26"/>
        </w:rPr>
        <w:t>BIP</w:t>
      </w:r>
      <w:r w:rsidR="006D5396" w:rsidRPr="0080030F">
        <w:rPr>
          <w:sz w:val="26"/>
          <w:szCs w:val="26"/>
        </w:rPr>
        <w:t xml:space="preserve"> is activated. Under these circumstances, the CAISO could fail the RSE by 1,000 MW and subsequently pay $2,000 MWH or $2 million, even though it had resources to meet its load (in the form of </w:t>
      </w:r>
      <w:r w:rsidR="00783911">
        <w:rPr>
          <w:sz w:val="26"/>
          <w:szCs w:val="26"/>
        </w:rPr>
        <w:t>BIP</w:t>
      </w:r>
      <w:r w:rsidR="006D5396" w:rsidRPr="0080030F">
        <w:rPr>
          <w:sz w:val="26"/>
          <w:szCs w:val="26"/>
        </w:rPr>
        <w:t xml:space="preserve"> itself).  In this case, CAISO would activate the </w:t>
      </w:r>
      <w:r w:rsidR="00783911">
        <w:rPr>
          <w:sz w:val="26"/>
          <w:szCs w:val="26"/>
        </w:rPr>
        <w:t>BIP</w:t>
      </w:r>
      <w:r w:rsidR="006D5396" w:rsidRPr="0080030F">
        <w:rPr>
          <w:sz w:val="26"/>
          <w:szCs w:val="26"/>
        </w:rPr>
        <w:t xml:space="preserve">, potentially pay the resource at the $2 million at the bid cap </w:t>
      </w:r>
      <w:proofErr w:type="gramStart"/>
      <w:r w:rsidR="006D5396" w:rsidRPr="0080030F">
        <w:rPr>
          <w:sz w:val="26"/>
          <w:szCs w:val="26"/>
        </w:rPr>
        <w:t>and also</w:t>
      </w:r>
      <w:proofErr w:type="gramEnd"/>
      <w:r w:rsidR="006D5396" w:rsidRPr="0080030F">
        <w:rPr>
          <w:sz w:val="26"/>
          <w:szCs w:val="26"/>
        </w:rPr>
        <w:t xml:space="preserve"> incur $2 million in penalties, which constitutes a double payment.  </w:t>
      </w:r>
    </w:p>
    <w:p w14:paraId="6663EFB2" w14:textId="32439DA3" w:rsidR="006D5396" w:rsidRDefault="005C7AE6" w:rsidP="0080030F">
      <w:pPr>
        <w:rPr>
          <w:sz w:val="26"/>
          <w:szCs w:val="26"/>
        </w:rPr>
      </w:pPr>
      <w:r w:rsidRPr="0080030F">
        <w:rPr>
          <w:sz w:val="26"/>
          <w:szCs w:val="26"/>
        </w:rPr>
        <w:t xml:space="preserve">This treatment and concern would be equally applicable for any other strategic reserve resources </w:t>
      </w:r>
      <w:r w:rsidR="004E2386">
        <w:rPr>
          <w:sz w:val="26"/>
          <w:szCs w:val="26"/>
        </w:rPr>
        <w:t xml:space="preserve">or additional real-time imports procured through out-of-market and emergency energy purchases </w:t>
      </w:r>
      <w:r w:rsidRPr="0080030F">
        <w:rPr>
          <w:sz w:val="26"/>
          <w:szCs w:val="26"/>
        </w:rPr>
        <w:t xml:space="preserve">that are under contract </w:t>
      </w:r>
      <w:r w:rsidRPr="00783911">
        <w:rPr>
          <w:i/>
          <w:iCs/>
          <w:sz w:val="26"/>
          <w:szCs w:val="26"/>
        </w:rPr>
        <w:t>but are not represented in CAISO’s bid stack</w:t>
      </w:r>
      <w:r w:rsidR="004E2386" w:rsidRPr="00716F04">
        <w:rPr>
          <w:rFonts w:cstheme="minorHAnsi"/>
          <w:sz w:val="26"/>
          <w:szCs w:val="26"/>
        </w:rPr>
        <w:t xml:space="preserve">.  </w:t>
      </w:r>
      <w:r w:rsidR="00716F04" w:rsidRPr="00716F04">
        <w:rPr>
          <w:rStyle w:val="cf01"/>
          <w:rFonts w:asciiTheme="minorHAnsi" w:hAnsiTheme="minorHAnsi" w:cstheme="minorHAnsi"/>
          <w:sz w:val="26"/>
          <w:szCs w:val="26"/>
        </w:rPr>
        <w:t>ED staff notes that CAISO could access strategic reserves in other BAAs by way of additional real-time imports through out-of-market and emergency energy purchases, even if WEIM transfers were limited, because these are not WEIM transfers themselves</w:t>
      </w:r>
      <w:r w:rsidR="00783911">
        <w:rPr>
          <w:rStyle w:val="cf01"/>
          <w:rFonts w:asciiTheme="minorHAnsi" w:hAnsiTheme="minorHAnsi" w:cstheme="minorHAnsi"/>
          <w:sz w:val="26"/>
          <w:szCs w:val="26"/>
        </w:rPr>
        <w:t xml:space="preserve">.  The figure below illustrates the out-of-market and emergency purchases that CAISO made during </w:t>
      </w:r>
      <w:proofErr w:type="gramStart"/>
      <w:r w:rsidR="00783911">
        <w:rPr>
          <w:rStyle w:val="cf01"/>
          <w:rFonts w:asciiTheme="minorHAnsi" w:hAnsiTheme="minorHAnsi" w:cstheme="minorHAnsi"/>
          <w:sz w:val="26"/>
          <w:szCs w:val="26"/>
        </w:rPr>
        <w:t>the September</w:t>
      </w:r>
      <w:proofErr w:type="gramEnd"/>
      <w:r w:rsidR="00783911">
        <w:rPr>
          <w:rStyle w:val="cf01"/>
          <w:rFonts w:asciiTheme="minorHAnsi" w:hAnsiTheme="minorHAnsi" w:cstheme="minorHAnsi"/>
          <w:sz w:val="26"/>
          <w:szCs w:val="26"/>
        </w:rPr>
        <w:t xml:space="preserve"> 2022 stressed system conditions</w:t>
      </w:r>
      <w:r w:rsidR="002B35FE">
        <w:rPr>
          <w:rStyle w:val="cf01"/>
          <w:rFonts w:asciiTheme="minorHAnsi" w:hAnsiTheme="minorHAnsi" w:cstheme="minorHAnsi"/>
          <w:sz w:val="26"/>
          <w:szCs w:val="26"/>
        </w:rPr>
        <w:t>.</w:t>
      </w:r>
    </w:p>
    <w:p w14:paraId="19F9FC71" w14:textId="77777777" w:rsidR="004E2386" w:rsidRDefault="004E2386" w:rsidP="004E2386">
      <w:pPr>
        <w:rPr>
          <w:sz w:val="26"/>
          <w:szCs w:val="26"/>
        </w:rPr>
      </w:pPr>
      <w:r>
        <w:rPr>
          <w:noProof/>
        </w:rPr>
        <w:lastRenderedPageBreak/>
        <w:drawing>
          <wp:inline distT="0" distB="0" distL="0" distR="0" wp14:anchorId="09299458" wp14:editId="171B9826">
            <wp:extent cx="5943600" cy="3340735"/>
            <wp:effectExtent l="0" t="0" r="0" b="0"/>
            <wp:docPr id="1878608099"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08099" name="Picture 1" descr="Chart, histogram&#10;&#10;Description automatically generated"/>
                    <pic:cNvPicPr/>
                  </pic:nvPicPr>
                  <pic:blipFill>
                    <a:blip r:embed="rId13"/>
                    <a:stretch>
                      <a:fillRect/>
                    </a:stretch>
                  </pic:blipFill>
                  <pic:spPr>
                    <a:xfrm>
                      <a:off x="0" y="0"/>
                      <a:ext cx="5943600" cy="3340735"/>
                    </a:xfrm>
                    <a:prstGeom prst="rect">
                      <a:avLst/>
                    </a:prstGeom>
                  </pic:spPr>
                </pic:pic>
              </a:graphicData>
            </a:graphic>
          </wp:inline>
        </w:drawing>
      </w:r>
    </w:p>
    <w:p w14:paraId="0876A882" w14:textId="434D9350" w:rsidR="00C27352" w:rsidRDefault="00C27352" w:rsidP="004E2386">
      <w:pPr>
        <w:rPr>
          <w:sz w:val="26"/>
          <w:szCs w:val="26"/>
        </w:rPr>
      </w:pPr>
      <w:r>
        <w:rPr>
          <w:sz w:val="26"/>
          <w:szCs w:val="26"/>
        </w:rPr>
        <w:t>Source:</w:t>
      </w:r>
      <w:r w:rsidRPr="00C27352">
        <w:t xml:space="preserve"> </w:t>
      </w:r>
      <w:hyperlink r:id="rId14" w:history="1">
        <w:r>
          <w:rPr>
            <w:rStyle w:val="Hyperlink"/>
          </w:rPr>
          <w:t>RIF Market Conditions for September 2022 presented November 8, 2022 (caiso.com)</w:t>
        </w:r>
      </w:hyperlink>
      <w:r>
        <w:t>, p. 12.</w:t>
      </w:r>
    </w:p>
    <w:p w14:paraId="03B1A451" w14:textId="121941CD" w:rsidR="004E2386" w:rsidRPr="0080030F" w:rsidRDefault="004E2386" w:rsidP="0080030F">
      <w:pPr>
        <w:rPr>
          <w:sz w:val="26"/>
          <w:szCs w:val="26"/>
        </w:rPr>
      </w:pPr>
      <w:r>
        <w:rPr>
          <w:sz w:val="26"/>
          <w:szCs w:val="26"/>
        </w:rPr>
        <w:t>T</w:t>
      </w:r>
      <w:r w:rsidRPr="0080030F">
        <w:rPr>
          <w:sz w:val="26"/>
          <w:szCs w:val="26"/>
        </w:rPr>
        <w:t xml:space="preserve">he </w:t>
      </w:r>
      <w:r>
        <w:rPr>
          <w:sz w:val="26"/>
          <w:szCs w:val="26"/>
        </w:rPr>
        <w:t xml:space="preserve">emergency assistance </w:t>
      </w:r>
      <w:r w:rsidRPr="0080030F">
        <w:rPr>
          <w:sz w:val="26"/>
          <w:szCs w:val="26"/>
        </w:rPr>
        <w:t>penalty provisions nearly guarantee CAISO will pay twice if the CAISO BAA fails the RSE because of failure to include RDRR</w:t>
      </w:r>
      <w:r>
        <w:rPr>
          <w:sz w:val="26"/>
          <w:szCs w:val="26"/>
        </w:rPr>
        <w:t xml:space="preserve">, </w:t>
      </w:r>
      <w:r w:rsidRPr="0080030F">
        <w:rPr>
          <w:sz w:val="26"/>
          <w:szCs w:val="26"/>
        </w:rPr>
        <w:t>strategic reserve resources</w:t>
      </w:r>
      <w:r>
        <w:rPr>
          <w:sz w:val="26"/>
          <w:szCs w:val="26"/>
        </w:rPr>
        <w:t>, and/or out-of-market and emergency energy purchases</w:t>
      </w:r>
      <w:r w:rsidRPr="0080030F">
        <w:rPr>
          <w:sz w:val="26"/>
          <w:szCs w:val="26"/>
        </w:rPr>
        <w:t xml:space="preserve"> and then CAISO deploys these resources</w:t>
      </w:r>
      <w:r>
        <w:rPr>
          <w:sz w:val="26"/>
          <w:szCs w:val="26"/>
        </w:rPr>
        <w:t xml:space="preserve"> themselves and does not need any additional WEIM transfers</w:t>
      </w:r>
      <w:r w:rsidRPr="0080030F">
        <w:rPr>
          <w:sz w:val="26"/>
          <w:szCs w:val="26"/>
        </w:rPr>
        <w:t xml:space="preserve">.  Such double payments are not just and reasonable. </w:t>
      </w:r>
    </w:p>
    <w:p w14:paraId="0C77B12E" w14:textId="4D6524D6" w:rsidR="00C27352" w:rsidRDefault="00DD2179" w:rsidP="0080030F">
      <w:pPr>
        <w:rPr>
          <w:sz w:val="26"/>
          <w:szCs w:val="26"/>
        </w:rPr>
      </w:pPr>
      <w:r w:rsidRPr="0080030F">
        <w:rPr>
          <w:sz w:val="26"/>
          <w:szCs w:val="26"/>
        </w:rPr>
        <w:t xml:space="preserve">In addition, ED staff </w:t>
      </w:r>
      <w:r w:rsidR="00D63673" w:rsidRPr="0080030F">
        <w:rPr>
          <w:sz w:val="26"/>
          <w:szCs w:val="26"/>
        </w:rPr>
        <w:t>is</w:t>
      </w:r>
      <w:r w:rsidRPr="0080030F">
        <w:rPr>
          <w:sz w:val="26"/>
          <w:szCs w:val="26"/>
        </w:rPr>
        <w:t xml:space="preserve"> concerned that th</w:t>
      </w:r>
      <w:r w:rsidR="0080030F">
        <w:rPr>
          <w:sz w:val="26"/>
          <w:szCs w:val="26"/>
        </w:rPr>
        <w:t xml:space="preserve">e </w:t>
      </w:r>
      <w:r w:rsidR="002B35FE">
        <w:rPr>
          <w:sz w:val="26"/>
          <w:szCs w:val="26"/>
        </w:rPr>
        <w:t xml:space="preserve">BIP </w:t>
      </w:r>
      <w:r w:rsidRPr="0080030F">
        <w:rPr>
          <w:sz w:val="26"/>
          <w:szCs w:val="26"/>
        </w:rPr>
        <w:t>treatment is discriminatory because CAISO allows other BAAs to adjust their load forecast to account for their demand response, whereas CAISO appears to impose more stringent conditions before activating the CPUC-jurisdict</w:t>
      </w:r>
      <w:r w:rsidR="00B90B3F">
        <w:rPr>
          <w:sz w:val="26"/>
          <w:szCs w:val="26"/>
        </w:rPr>
        <w:t>i</w:t>
      </w:r>
      <w:r w:rsidRPr="0080030F">
        <w:rPr>
          <w:sz w:val="26"/>
          <w:szCs w:val="26"/>
        </w:rPr>
        <w:t xml:space="preserve">onal </w:t>
      </w:r>
      <w:r w:rsidR="002B35FE">
        <w:rPr>
          <w:sz w:val="26"/>
          <w:szCs w:val="26"/>
        </w:rPr>
        <w:t>BIP program</w:t>
      </w:r>
      <w:r w:rsidRPr="0080030F">
        <w:rPr>
          <w:sz w:val="26"/>
          <w:szCs w:val="26"/>
        </w:rPr>
        <w:t xml:space="preserve">. That is, </w:t>
      </w:r>
      <w:r w:rsidR="002B35FE">
        <w:rPr>
          <w:sz w:val="26"/>
          <w:szCs w:val="26"/>
        </w:rPr>
        <w:t xml:space="preserve">currently, </w:t>
      </w:r>
      <w:r w:rsidRPr="0080030F">
        <w:rPr>
          <w:sz w:val="26"/>
          <w:szCs w:val="26"/>
        </w:rPr>
        <w:t xml:space="preserve">CAISO will only activate the </w:t>
      </w:r>
      <w:r w:rsidR="002B35FE">
        <w:rPr>
          <w:sz w:val="26"/>
          <w:szCs w:val="26"/>
        </w:rPr>
        <w:t xml:space="preserve">BIP </w:t>
      </w:r>
      <w:r w:rsidRPr="0080030F">
        <w:rPr>
          <w:sz w:val="26"/>
          <w:szCs w:val="26"/>
        </w:rPr>
        <w:t>at an EEA2, but appears to allow other BAAs to adjust their load forecasts for their emergency demand response at any point, not requiring activation of an EEA2 before this occurs.</w:t>
      </w:r>
      <w:r w:rsidR="00DF6EDA">
        <w:rPr>
          <w:sz w:val="26"/>
          <w:szCs w:val="26"/>
        </w:rPr>
        <w:t xml:space="preserve"> This discriminatory treatment is yet another reason that ED staff </w:t>
      </w:r>
      <w:proofErr w:type="gramStart"/>
      <w:r w:rsidR="00DF6EDA">
        <w:rPr>
          <w:sz w:val="26"/>
          <w:szCs w:val="26"/>
        </w:rPr>
        <w:t>opposes</w:t>
      </w:r>
      <w:proofErr w:type="gramEnd"/>
      <w:r w:rsidR="00DF6EDA">
        <w:rPr>
          <w:sz w:val="26"/>
          <w:szCs w:val="26"/>
        </w:rPr>
        <w:t xml:space="preserve"> opting into the CAISO’s proposed energy assistance program.</w:t>
      </w:r>
    </w:p>
    <w:p w14:paraId="710BEC08" w14:textId="77777777" w:rsidR="002B35FE" w:rsidRPr="0080030F" w:rsidRDefault="002B35FE" w:rsidP="0080030F">
      <w:pPr>
        <w:rPr>
          <w:sz w:val="26"/>
          <w:szCs w:val="26"/>
        </w:rPr>
      </w:pPr>
    </w:p>
    <w:p w14:paraId="62BC5C33" w14:textId="008AF07C" w:rsidR="00D63673" w:rsidRPr="0080030F" w:rsidRDefault="0080030F" w:rsidP="0080030F">
      <w:pPr>
        <w:rPr>
          <w:i/>
          <w:iCs/>
          <w:sz w:val="26"/>
          <w:szCs w:val="26"/>
        </w:rPr>
      </w:pPr>
      <w:r w:rsidRPr="0080030F">
        <w:rPr>
          <w:i/>
          <w:iCs/>
          <w:sz w:val="26"/>
          <w:szCs w:val="26"/>
        </w:rPr>
        <w:t xml:space="preserve">Provides No </w:t>
      </w:r>
      <w:r w:rsidR="00D8361A">
        <w:rPr>
          <w:i/>
          <w:iCs/>
          <w:sz w:val="26"/>
          <w:szCs w:val="26"/>
        </w:rPr>
        <w:t>Clear, or Incremental</w:t>
      </w:r>
      <w:r w:rsidRPr="0080030F">
        <w:rPr>
          <w:i/>
          <w:iCs/>
          <w:sz w:val="26"/>
          <w:szCs w:val="26"/>
        </w:rPr>
        <w:t xml:space="preserve"> Benefit</w:t>
      </w:r>
    </w:p>
    <w:p w14:paraId="6C7CE3AA" w14:textId="3632B164" w:rsidR="00845C4D" w:rsidRDefault="00845C4D" w:rsidP="0080030F">
      <w:pPr>
        <w:rPr>
          <w:sz w:val="26"/>
          <w:szCs w:val="26"/>
        </w:rPr>
      </w:pPr>
      <w:r w:rsidRPr="0080030F">
        <w:rPr>
          <w:sz w:val="26"/>
          <w:szCs w:val="26"/>
        </w:rPr>
        <w:t xml:space="preserve">Third, ED staff opposes opting into the energy assistance program </w:t>
      </w:r>
      <w:proofErr w:type="gramStart"/>
      <w:r w:rsidRPr="0080030F">
        <w:rPr>
          <w:sz w:val="26"/>
          <w:szCs w:val="26"/>
        </w:rPr>
        <w:t>at this time</w:t>
      </w:r>
      <w:proofErr w:type="gramEnd"/>
      <w:r w:rsidRPr="0080030F">
        <w:rPr>
          <w:sz w:val="26"/>
          <w:szCs w:val="26"/>
        </w:rPr>
        <w:t xml:space="preserve"> because it provides no clear benefit. Under the current paradigm, BAAs that fail the RSE are limited to the last feasible WEIM transfer schedule. However, because CAISO WEIM</w:t>
      </w:r>
      <w:r w:rsidR="002879C8" w:rsidRPr="0080030F">
        <w:rPr>
          <w:sz w:val="26"/>
          <w:szCs w:val="26"/>
        </w:rPr>
        <w:t xml:space="preserve"> scheduled</w:t>
      </w:r>
      <w:r w:rsidRPr="0080030F">
        <w:rPr>
          <w:sz w:val="26"/>
          <w:szCs w:val="26"/>
        </w:rPr>
        <w:t xml:space="preserve"> </w:t>
      </w:r>
      <w:r w:rsidRPr="0080030F">
        <w:rPr>
          <w:sz w:val="26"/>
          <w:szCs w:val="26"/>
        </w:rPr>
        <w:lastRenderedPageBreak/>
        <w:t xml:space="preserve">transfers are so much larger in the 15-minute market than </w:t>
      </w:r>
      <w:r w:rsidR="002879C8" w:rsidRPr="0080030F">
        <w:rPr>
          <w:sz w:val="26"/>
          <w:szCs w:val="26"/>
        </w:rPr>
        <w:t xml:space="preserve">the actual transfers realized </w:t>
      </w:r>
      <w:r w:rsidRPr="0080030F">
        <w:rPr>
          <w:sz w:val="26"/>
          <w:szCs w:val="26"/>
        </w:rPr>
        <w:t xml:space="preserve">in the binding 5-minute market, </w:t>
      </w:r>
      <w:r w:rsidR="002879C8" w:rsidRPr="0080030F">
        <w:rPr>
          <w:sz w:val="26"/>
          <w:szCs w:val="26"/>
        </w:rPr>
        <w:t xml:space="preserve">limiting CAISO to the last feasible </w:t>
      </w:r>
      <w:proofErr w:type="gramStart"/>
      <w:r w:rsidR="002879C8" w:rsidRPr="0080030F">
        <w:rPr>
          <w:sz w:val="26"/>
          <w:szCs w:val="26"/>
        </w:rPr>
        <w:t>15 minute</w:t>
      </w:r>
      <w:proofErr w:type="gramEnd"/>
      <w:r w:rsidR="002879C8" w:rsidRPr="0080030F">
        <w:rPr>
          <w:sz w:val="26"/>
          <w:szCs w:val="26"/>
        </w:rPr>
        <w:t xml:space="preserve"> schedule </w:t>
      </w:r>
      <w:r w:rsidRPr="0080030F">
        <w:rPr>
          <w:sz w:val="26"/>
          <w:szCs w:val="26"/>
        </w:rPr>
        <w:t>is not binding.  This is illustrated in the figure</w:t>
      </w:r>
      <w:r w:rsidR="00D8361A">
        <w:rPr>
          <w:sz w:val="26"/>
          <w:szCs w:val="26"/>
        </w:rPr>
        <w:t xml:space="preserve"> below.</w:t>
      </w:r>
      <w:r w:rsidRPr="0080030F">
        <w:rPr>
          <w:sz w:val="26"/>
          <w:szCs w:val="26"/>
        </w:rPr>
        <w:t xml:space="preserve"> </w:t>
      </w:r>
    </w:p>
    <w:p w14:paraId="00CA1A69" w14:textId="77777777" w:rsidR="00D8361A" w:rsidRPr="0080030F" w:rsidRDefault="00D8361A" w:rsidP="0080030F">
      <w:pPr>
        <w:rPr>
          <w:sz w:val="26"/>
          <w:szCs w:val="26"/>
        </w:rPr>
      </w:pPr>
    </w:p>
    <w:p w14:paraId="5018CF08" w14:textId="633F7727" w:rsidR="002879C8" w:rsidRDefault="0074313C" w:rsidP="002879C8">
      <w:pPr>
        <w:ind w:left="360"/>
        <w:rPr>
          <w:sz w:val="26"/>
          <w:szCs w:val="26"/>
        </w:rPr>
      </w:pPr>
      <w:r>
        <w:rPr>
          <w:noProof/>
        </w:rPr>
        <w:drawing>
          <wp:inline distT="0" distB="0" distL="0" distR="0" wp14:anchorId="10C399AD" wp14:editId="3835C309">
            <wp:extent cx="4958152" cy="3361055"/>
            <wp:effectExtent l="0" t="0" r="0" b="0"/>
            <wp:docPr id="187381955"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1955" name="Picture 1" descr="Chart, bar chart&#10;&#10;Description automatically generated"/>
                    <pic:cNvPicPr/>
                  </pic:nvPicPr>
                  <pic:blipFill>
                    <a:blip r:embed="rId15"/>
                    <a:stretch>
                      <a:fillRect/>
                    </a:stretch>
                  </pic:blipFill>
                  <pic:spPr>
                    <a:xfrm>
                      <a:off x="0" y="0"/>
                      <a:ext cx="4966273" cy="3366560"/>
                    </a:xfrm>
                    <a:prstGeom prst="rect">
                      <a:avLst/>
                    </a:prstGeom>
                  </pic:spPr>
                </pic:pic>
              </a:graphicData>
            </a:graphic>
          </wp:inline>
        </w:drawing>
      </w:r>
    </w:p>
    <w:p w14:paraId="59D1EE2D" w14:textId="3A519034" w:rsidR="002879C8" w:rsidRDefault="002879C8" w:rsidP="0074313C">
      <w:pPr>
        <w:ind w:left="360"/>
      </w:pPr>
      <w:r>
        <w:rPr>
          <w:sz w:val="26"/>
          <w:szCs w:val="26"/>
        </w:rPr>
        <w:t xml:space="preserve">Source: </w:t>
      </w:r>
      <w:hyperlink r:id="rId16" w:history="1">
        <w:r>
          <w:rPr>
            <w:rStyle w:val="Hyperlink"/>
          </w:rPr>
          <w:t>DMM Presents WEIM Resource Sufficiency Tests (caiso.com)</w:t>
        </w:r>
      </w:hyperlink>
      <w:r>
        <w:t>, p. 11.</w:t>
      </w:r>
    </w:p>
    <w:p w14:paraId="2531B747" w14:textId="53E77337" w:rsidR="00D8361A" w:rsidRDefault="00D8361A" w:rsidP="00D8361A">
      <w:pPr>
        <w:rPr>
          <w:sz w:val="26"/>
          <w:szCs w:val="26"/>
        </w:rPr>
      </w:pPr>
      <w:r>
        <w:rPr>
          <w:sz w:val="26"/>
          <w:szCs w:val="26"/>
        </w:rPr>
        <w:t xml:space="preserve">In addition, ED staff notes that while CAISO was receiving 1,000 MW of actual WEIM transfers </w:t>
      </w:r>
      <w:r w:rsidR="006508E5">
        <w:rPr>
          <w:sz w:val="26"/>
          <w:szCs w:val="26"/>
        </w:rPr>
        <w:t xml:space="preserve">during the EEA3 </w:t>
      </w:r>
      <w:r>
        <w:rPr>
          <w:sz w:val="26"/>
          <w:szCs w:val="26"/>
        </w:rPr>
        <w:t xml:space="preserve">(see the </w:t>
      </w:r>
      <w:proofErr w:type="gramStart"/>
      <w:r>
        <w:rPr>
          <w:sz w:val="26"/>
          <w:szCs w:val="26"/>
        </w:rPr>
        <w:t>5 minute</w:t>
      </w:r>
      <w:proofErr w:type="gramEnd"/>
      <w:r>
        <w:rPr>
          <w:sz w:val="26"/>
          <w:szCs w:val="26"/>
        </w:rPr>
        <w:t xml:space="preserve"> WEIM imports shown above), the CAISO BAA was also supporting LPT exports </w:t>
      </w:r>
      <w:r w:rsidR="006508E5">
        <w:rPr>
          <w:sz w:val="26"/>
          <w:szCs w:val="26"/>
        </w:rPr>
        <w:t xml:space="preserve">during the EEA3 </w:t>
      </w:r>
      <w:r>
        <w:rPr>
          <w:sz w:val="26"/>
          <w:szCs w:val="26"/>
        </w:rPr>
        <w:t xml:space="preserve">as well, as illustrated in the figure below. </w:t>
      </w:r>
    </w:p>
    <w:p w14:paraId="1E31310A" w14:textId="3B3794AB" w:rsidR="00D8361A" w:rsidRDefault="00D8361A" w:rsidP="00D8361A">
      <w:pPr>
        <w:pStyle w:val="NormalWeb"/>
        <w:shd w:val="clear" w:color="auto" w:fill="FFFFFF"/>
        <w:spacing w:before="0" w:beforeAutospacing="0"/>
        <w:rPr>
          <w:rFonts w:ascii="Arial" w:hAnsi="Arial" w:cs="Arial"/>
          <w:color w:val="666666"/>
          <w:sz w:val="21"/>
          <w:szCs w:val="21"/>
        </w:rPr>
      </w:pPr>
    </w:p>
    <w:p w14:paraId="577DA18C" w14:textId="77777777" w:rsidR="00D8361A" w:rsidRDefault="00D8361A" w:rsidP="0074313C">
      <w:pPr>
        <w:ind w:left="360"/>
        <w:rPr>
          <w:sz w:val="26"/>
          <w:szCs w:val="26"/>
        </w:rPr>
      </w:pPr>
    </w:p>
    <w:p w14:paraId="2C8C0DC8" w14:textId="4D0BCBC7" w:rsidR="002879C8" w:rsidRDefault="002879C8" w:rsidP="0074313C">
      <w:pPr>
        <w:ind w:left="360"/>
        <w:rPr>
          <w:sz w:val="26"/>
          <w:szCs w:val="26"/>
        </w:rPr>
      </w:pPr>
      <w:r>
        <w:rPr>
          <w:noProof/>
        </w:rPr>
        <w:lastRenderedPageBreak/>
        <w:drawing>
          <wp:inline distT="0" distB="0" distL="0" distR="0" wp14:anchorId="589575EC" wp14:editId="30E2ED33">
            <wp:extent cx="5032864" cy="3421380"/>
            <wp:effectExtent l="0" t="0" r="0" b="7620"/>
            <wp:docPr id="338137000" name="Picture 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137000" name="Picture 1" descr="Chart, bar chart, histogram&#10;&#10;Description automatically generated"/>
                    <pic:cNvPicPr/>
                  </pic:nvPicPr>
                  <pic:blipFill>
                    <a:blip r:embed="rId17"/>
                    <a:stretch>
                      <a:fillRect/>
                    </a:stretch>
                  </pic:blipFill>
                  <pic:spPr>
                    <a:xfrm>
                      <a:off x="0" y="0"/>
                      <a:ext cx="5038129" cy="3424959"/>
                    </a:xfrm>
                    <a:prstGeom prst="rect">
                      <a:avLst/>
                    </a:prstGeom>
                  </pic:spPr>
                </pic:pic>
              </a:graphicData>
            </a:graphic>
          </wp:inline>
        </w:drawing>
      </w:r>
    </w:p>
    <w:p w14:paraId="62E9040C" w14:textId="614B4DEB" w:rsidR="002879C8" w:rsidRDefault="002879C8" w:rsidP="00082162">
      <w:pPr>
        <w:ind w:left="360"/>
        <w:rPr>
          <w:sz w:val="26"/>
          <w:szCs w:val="26"/>
        </w:rPr>
      </w:pPr>
      <w:r>
        <w:rPr>
          <w:sz w:val="26"/>
          <w:szCs w:val="26"/>
        </w:rPr>
        <w:t xml:space="preserve">Source: </w:t>
      </w:r>
      <w:hyperlink r:id="rId18" w:history="1">
        <w:r w:rsidRPr="00490959">
          <w:rPr>
            <w:rStyle w:val="Hyperlink"/>
            <w:sz w:val="26"/>
            <w:szCs w:val="26"/>
          </w:rPr>
          <w:t>https://stakeholdercenter.caiso.com/Common/DownloadFile/40299f19-b952-4ac5-815b-3159a047d512</w:t>
        </w:r>
      </w:hyperlink>
      <w:r>
        <w:rPr>
          <w:sz w:val="26"/>
          <w:szCs w:val="26"/>
        </w:rPr>
        <w:t>, p. 3.</w:t>
      </w:r>
    </w:p>
    <w:p w14:paraId="7BCADB96" w14:textId="0606EFDB" w:rsidR="00D8361A" w:rsidRDefault="00D8361A" w:rsidP="00D8361A">
      <w:pPr>
        <w:rPr>
          <w:rFonts w:ascii="Arial" w:hAnsi="Arial" w:cs="Arial"/>
          <w:color w:val="666666"/>
          <w:sz w:val="21"/>
          <w:szCs w:val="21"/>
        </w:rPr>
      </w:pPr>
      <w:r>
        <w:rPr>
          <w:sz w:val="26"/>
          <w:szCs w:val="26"/>
        </w:rPr>
        <w:t>Finally, ED staff notes that the load conformance adjustments that result in high 15-minute WEIM transfers, but lower 5-minute WEIM transfers in and of themselves, already result in higher costs for California customers. As noted by the CAISO</w:t>
      </w:r>
      <w:r w:rsidR="00952CE9">
        <w:rPr>
          <w:sz w:val="26"/>
          <w:szCs w:val="26"/>
        </w:rPr>
        <w:t xml:space="preserve">’s Market Surveillance Committee </w:t>
      </w:r>
      <w:r>
        <w:rPr>
          <w:sz w:val="26"/>
          <w:szCs w:val="26"/>
        </w:rPr>
        <w:t xml:space="preserve">in its RSE Phase </w:t>
      </w:r>
      <w:r w:rsidR="002B35FE">
        <w:rPr>
          <w:sz w:val="26"/>
          <w:szCs w:val="26"/>
        </w:rPr>
        <w:t>1</w:t>
      </w:r>
      <w:r>
        <w:rPr>
          <w:sz w:val="26"/>
          <w:szCs w:val="26"/>
        </w:rPr>
        <w:t xml:space="preserve"> opinion,</w:t>
      </w:r>
      <w:r w:rsidR="002B35FE">
        <w:rPr>
          <w:rStyle w:val="FootnoteReference"/>
          <w:sz w:val="26"/>
          <w:szCs w:val="26"/>
        </w:rPr>
        <w:footnoteReference w:id="10"/>
      </w:r>
      <w:r>
        <w:rPr>
          <w:sz w:val="26"/>
          <w:szCs w:val="26"/>
        </w:rPr>
        <w:t xml:space="preserve"> </w:t>
      </w:r>
    </w:p>
    <w:p w14:paraId="1E108BAB" w14:textId="5E4F45D4" w:rsidR="00D8361A" w:rsidRDefault="00D8361A" w:rsidP="00082162">
      <w:pPr>
        <w:ind w:left="360"/>
        <w:rPr>
          <w:sz w:val="26"/>
          <w:szCs w:val="26"/>
        </w:rPr>
      </w:pPr>
      <w:r>
        <w:rPr>
          <w:rFonts w:ascii="Arial" w:hAnsi="Arial" w:cs="Arial"/>
          <w:noProof/>
          <w:color w:val="666666"/>
          <w:sz w:val="21"/>
          <w:szCs w:val="21"/>
        </w:rPr>
        <w:drawing>
          <wp:inline distT="0" distB="0" distL="0" distR="0" wp14:anchorId="2236B5ED" wp14:editId="27EE0BC2">
            <wp:extent cx="5715000" cy="1209675"/>
            <wp:effectExtent l="0" t="0" r="0" b="9525"/>
            <wp:docPr id="1671590408"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90408" name="Picture 3"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209675"/>
                    </a:xfrm>
                    <a:prstGeom prst="rect">
                      <a:avLst/>
                    </a:prstGeom>
                    <a:noFill/>
                    <a:ln>
                      <a:noFill/>
                    </a:ln>
                  </pic:spPr>
                </pic:pic>
              </a:graphicData>
            </a:graphic>
          </wp:inline>
        </w:drawing>
      </w:r>
    </w:p>
    <w:p w14:paraId="63AA0ACE" w14:textId="553C66AF" w:rsidR="00952CE9" w:rsidRDefault="00716F04" w:rsidP="00C27352">
      <w:pPr>
        <w:rPr>
          <w:sz w:val="26"/>
          <w:szCs w:val="26"/>
        </w:rPr>
      </w:pPr>
      <w:r>
        <w:rPr>
          <w:sz w:val="26"/>
          <w:szCs w:val="26"/>
        </w:rPr>
        <w:t xml:space="preserve">Further, </w:t>
      </w:r>
      <w:r w:rsidR="00952CE9">
        <w:rPr>
          <w:sz w:val="26"/>
          <w:szCs w:val="26"/>
        </w:rPr>
        <w:t>prices in the FMM are systematically higher in the FMM than the RTD</w:t>
      </w:r>
      <w:r>
        <w:rPr>
          <w:sz w:val="26"/>
          <w:szCs w:val="26"/>
        </w:rPr>
        <w:t>, as</w:t>
      </w:r>
      <w:r w:rsidR="00952CE9">
        <w:rPr>
          <w:sz w:val="26"/>
          <w:szCs w:val="26"/>
        </w:rPr>
        <w:t xml:space="preserve"> is illustrated in the following figure.</w:t>
      </w:r>
    </w:p>
    <w:p w14:paraId="116068FE" w14:textId="77777777" w:rsidR="00C27352" w:rsidRDefault="00C27352" w:rsidP="00082162">
      <w:pPr>
        <w:ind w:left="360"/>
        <w:rPr>
          <w:sz w:val="26"/>
          <w:szCs w:val="26"/>
        </w:rPr>
      </w:pPr>
    </w:p>
    <w:p w14:paraId="073A9008" w14:textId="4BAE455E" w:rsidR="00952CE9" w:rsidRDefault="00952CE9" w:rsidP="00C27352">
      <w:pPr>
        <w:rPr>
          <w:sz w:val="26"/>
          <w:szCs w:val="26"/>
        </w:rPr>
      </w:pPr>
      <w:r>
        <w:rPr>
          <w:noProof/>
        </w:rPr>
        <w:lastRenderedPageBreak/>
        <w:drawing>
          <wp:inline distT="0" distB="0" distL="0" distR="0" wp14:anchorId="64A77AF3" wp14:editId="76547555">
            <wp:extent cx="5943600" cy="3392805"/>
            <wp:effectExtent l="0" t="0" r="0" b="0"/>
            <wp:docPr id="1532424837"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424837" name="Picture 4" descr="Chart, line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92805"/>
                    </a:xfrm>
                    <a:prstGeom prst="rect">
                      <a:avLst/>
                    </a:prstGeom>
                    <a:noFill/>
                    <a:ln>
                      <a:noFill/>
                    </a:ln>
                  </pic:spPr>
                </pic:pic>
              </a:graphicData>
            </a:graphic>
          </wp:inline>
        </w:drawing>
      </w:r>
    </w:p>
    <w:p w14:paraId="6BFF2E23" w14:textId="41AF2739" w:rsidR="002B35FE" w:rsidRPr="002879C8" w:rsidRDefault="002B35FE" w:rsidP="00C27352">
      <w:pPr>
        <w:rPr>
          <w:sz w:val="26"/>
          <w:szCs w:val="26"/>
        </w:rPr>
      </w:pPr>
      <w:r>
        <w:rPr>
          <w:sz w:val="26"/>
          <w:szCs w:val="26"/>
        </w:rPr>
        <w:t xml:space="preserve">Source: </w:t>
      </w:r>
      <w:hyperlink r:id="rId21" w:history="1">
        <w:r>
          <w:rPr>
            <w:rStyle w:val="Hyperlink"/>
          </w:rPr>
          <w:t>SummerMarketPerformanceReportforSeptember2022.pdf (caiso.com)</w:t>
        </w:r>
      </w:hyperlink>
      <w:r w:rsidR="00F66B09">
        <w:t>, p. 54.</w:t>
      </w:r>
    </w:p>
    <w:p w14:paraId="03D5F49A" w14:textId="778095D6" w:rsidR="00C27352" w:rsidRPr="00C27352" w:rsidRDefault="00C27352" w:rsidP="00DF6EDA">
      <w:pPr>
        <w:rPr>
          <w:sz w:val="26"/>
          <w:szCs w:val="26"/>
        </w:rPr>
      </w:pPr>
      <w:r>
        <w:rPr>
          <w:sz w:val="26"/>
          <w:szCs w:val="26"/>
        </w:rPr>
        <w:t>In sum</w:t>
      </w:r>
      <w:r w:rsidR="00DB7A15">
        <w:rPr>
          <w:sz w:val="26"/>
          <w:szCs w:val="26"/>
        </w:rPr>
        <w:t>mary</w:t>
      </w:r>
      <w:r>
        <w:rPr>
          <w:sz w:val="26"/>
          <w:szCs w:val="26"/>
        </w:rPr>
        <w:t xml:space="preserve">, </w:t>
      </w:r>
      <w:r w:rsidR="00DB7A15">
        <w:rPr>
          <w:sz w:val="26"/>
          <w:szCs w:val="26"/>
        </w:rPr>
        <w:t xml:space="preserve">ED </w:t>
      </w:r>
      <w:r w:rsidR="002B35FE">
        <w:rPr>
          <w:sz w:val="26"/>
          <w:szCs w:val="26"/>
        </w:rPr>
        <w:t>s</w:t>
      </w:r>
      <w:r w:rsidR="00DB7A15">
        <w:rPr>
          <w:sz w:val="26"/>
          <w:szCs w:val="26"/>
        </w:rPr>
        <w:t xml:space="preserve">taff </w:t>
      </w:r>
      <w:r w:rsidR="002B35FE">
        <w:rPr>
          <w:sz w:val="26"/>
          <w:szCs w:val="26"/>
        </w:rPr>
        <w:t xml:space="preserve">is </w:t>
      </w:r>
      <w:r w:rsidR="00DB7A15">
        <w:rPr>
          <w:sz w:val="26"/>
          <w:szCs w:val="26"/>
        </w:rPr>
        <w:t xml:space="preserve">unclear how opting into this program will </w:t>
      </w:r>
      <w:r>
        <w:rPr>
          <w:sz w:val="26"/>
          <w:szCs w:val="26"/>
        </w:rPr>
        <w:t xml:space="preserve">benefit </w:t>
      </w:r>
      <w:r w:rsidR="00DB7A15">
        <w:rPr>
          <w:sz w:val="26"/>
          <w:szCs w:val="26"/>
        </w:rPr>
        <w:t>customers</w:t>
      </w:r>
      <w:r w:rsidR="00A31146">
        <w:rPr>
          <w:sz w:val="26"/>
          <w:szCs w:val="26"/>
        </w:rPr>
        <w:t xml:space="preserve"> </w:t>
      </w:r>
      <w:r w:rsidR="0076462F">
        <w:rPr>
          <w:sz w:val="26"/>
          <w:szCs w:val="26"/>
        </w:rPr>
        <w:t>within the CAIS</w:t>
      </w:r>
      <w:r w:rsidR="00A31146">
        <w:rPr>
          <w:sz w:val="26"/>
          <w:szCs w:val="26"/>
        </w:rPr>
        <w:t>O</w:t>
      </w:r>
      <w:r w:rsidR="0076462F">
        <w:rPr>
          <w:sz w:val="26"/>
          <w:szCs w:val="26"/>
        </w:rPr>
        <w:t xml:space="preserve"> </w:t>
      </w:r>
      <w:r>
        <w:rPr>
          <w:sz w:val="26"/>
          <w:szCs w:val="26"/>
        </w:rPr>
        <w:t xml:space="preserve">because the current provisions are not binding, </w:t>
      </w:r>
      <w:r w:rsidR="00DB7A15">
        <w:rPr>
          <w:sz w:val="26"/>
          <w:szCs w:val="26"/>
        </w:rPr>
        <w:t>and</w:t>
      </w:r>
      <w:r>
        <w:rPr>
          <w:sz w:val="26"/>
          <w:szCs w:val="26"/>
        </w:rPr>
        <w:t xml:space="preserve"> </w:t>
      </w:r>
      <w:r w:rsidR="0076462F">
        <w:rPr>
          <w:sz w:val="26"/>
          <w:szCs w:val="26"/>
        </w:rPr>
        <w:t xml:space="preserve">these customers </w:t>
      </w:r>
      <w:r>
        <w:rPr>
          <w:sz w:val="26"/>
          <w:szCs w:val="26"/>
        </w:rPr>
        <w:t xml:space="preserve">are already paying extraordinary prices for energy through the WEIM that </w:t>
      </w:r>
      <w:r w:rsidR="00DB7A15">
        <w:rPr>
          <w:sz w:val="26"/>
          <w:szCs w:val="26"/>
        </w:rPr>
        <w:t>is</w:t>
      </w:r>
      <w:r>
        <w:rPr>
          <w:sz w:val="26"/>
          <w:szCs w:val="26"/>
        </w:rPr>
        <w:t xml:space="preserve"> </w:t>
      </w:r>
      <w:r w:rsidR="0076462F">
        <w:rPr>
          <w:sz w:val="26"/>
          <w:szCs w:val="26"/>
        </w:rPr>
        <w:t xml:space="preserve">often </w:t>
      </w:r>
      <w:r>
        <w:rPr>
          <w:sz w:val="26"/>
          <w:szCs w:val="26"/>
        </w:rPr>
        <w:t>s</w:t>
      </w:r>
      <w:r w:rsidR="00DB7A15">
        <w:rPr>
          <w:sz w:val="26"/>
          <w:szCs w:val="26"/>
        </w:rPr>
        <w:t>old</w:t>
      </w:r>
      <w:r>
        <w:rPr>
          <w:sz w:val="26"/>
          <w:szCs w:val="26"/>
        </w:rPr>
        <w:t xml:space="preserve"> back at lower prices in the RTD</w:t>
      </w:r>
      <w:r w:rsidR="00DB7A15">
        <w:rPr>
          <w:sz w:val="26"/>
          <w:szCs w:val="26"/>
        </w:rPr>
        <w:t>.  This</w:t>
      </w:r>
      <w:r>
        <w:rPr>
          <w:sz w:val="26"/>
          <w:szCs w:val="26"/>
        </w:rPr>
        <w:t xml:space="preserve"> </w:t>
      </w:r>
      <w:r w:rsidR="0076462F">
        <w:rPr>
          <w:sz w:val="26"/>
          <w:szCs w:val="26"/>
        </w:rPr>
        <w:t xml:space="preserve">will presumably </w:t>
      </w:r>
      <w:r w:rsidR="00DB7A15">
        <w:rPr>
          <w:sz w:val="26"/>
          <w:szCs w:val="26"/>
        </w:rPr>
        <w:t>continue</w:t>
      </w:r>
      <w:r w:rsidR="0076462F">
        <w:rPr>
          <w:sz w:val="26"/>
          <w:szCs w:val="26"/>
        </w:rPr>
        <w:t xml:space="preserve"> under </w:t>
      </w:r>
      <w:r>
        <w:rPr>
          <w:sz w:val="26"/>
          <w:szCs w:val="26"/>
        </w:rPr>
        <w:t>CAISO’s proposed energy assistance program</w:t>
      </w:r>
      <w:r w:rsidR="00DB7A15">
        <w:rPr>
          <w:sz w:val="26"/>
          <w:szCs w:val="26"/>
        </w:rPr>
        <w:t>, creating additional complexity and cost that does not appear necessary or reasonable</w:t>
      </w:r>
      <w:r>
        <w:rPr>
          <w:sz w:val="26"/>
          <w:szCs w:val="26"/>
        </w:rPr>
        <w:t xml:space="preserve">.  </w:t>
      </w:r>
    </w:p>
    <w:p w14:paraId="4A6AA48D" w14:textId="77A80508" w:rsidR="00845C4D" w:rsidRPr="00DF6EDA" w:rsidRDefault="00DF6EDA" w:rsidP="00DF6EDA">
      <w:pPr>
        <w:rPr>
          <w:i/>
          <w:iCs/>
          <w:sz w:val="26"/>
          <w:szCs w:val="26"/>
        </w:rPr>
      </w:pPr>
      <w:r>
        <w:rPr>
          <w:i/>
          <w:iCs/>
          <w:sz w:val="26"/>
          <w:szCs w:val="26"/>
        </w:rPr>
        <w:t>Issues with the RSE Calculations Itself Makes the Energy Assistance Penalty Provisions Unjust and Unreasonable</w:t>
      </w:r>
    </w:p>
    <w:p w14:paraId="341E6CF5" w14:textId="1B0134AC" w:rsidR="00D63673" w:rsidRPr="00DF6EDA" w:rsidRDefault="00D63673" w:rsidP="00DF6EDA">
      <w:pPr>
        <w:rPr>
          <w:sz w:val="26"/>
          <w:szCs w:val="26"/>
        </w:rPr>
      </w:pPr>
      <w:r w:rsidRPr="00DF6EDA">
        <w:rPr>
          <w:sz w:val="26"/>
          <w:szCs w:val="26"/>
        </w:rPr>
        <w:t xml:space="preserve">ED staff </w:t>
      </w:r>
      <w:r w:rsidR="0076462F">
        <w:rPr>
          <w:sz w:val="26"/>
          <w:szCs w:val="26"/>
        </w:rPr>
        <w:t>opposes</w:t>
      </w:r>
      <w:r w:rsidRPr="00DF6EDA">
        <w:rPr>
          <w:sz w:val="26"/>
          <w:szCs w:val="26"/>
        </w:rPr>
        <w:t xml:space="preserve"> opting into this program at this time because of a variety of other concerns regarding the RSE</w:t>
      </w:r>
      <w:r w:rsidR="00845C4D" w:rsidRPr="00DF6EDA">
        <w:rPr>
          <w:sz w:val="26"/>
          <w:szCs w:val="26"/>
        </w:rPr>
        <w:t xml:space="preserve"> itself</w:t>
      </w:r>
      <w:r w:rsidRPr="00DF6EDA">
        <w:rPr>
          <w:sz w:val="26"/>
          <w:szCs w:val="26"/>
        </w:rPr>
        <w:t xml:space="preserve">, including the effect of </w:t>
      </w:r>
      <w:proofErr w:type="gramStart"/>
      <w:r w:rsidRPr="00DF6EDA">
        <w:rPr>
          <w:sz w:val="26"/>
          <w:szCs w:val="26"/>
        </w:rPr>
        <w:t>day-ahead</w:t>
      </w:r>
      <w:proofErr w:type="gramEnd"/>
      <w:r w:rsidRPr="00DF6EDA">
        <w:rPr>
          <w:sz w:val="26"/>
          <w:szCs w:val="26"/>
        </w:rPr>
        <w:t xml:space="preserve"> LPT exports in the test, the uncertainty </w:t>
      </w:r>
      <w:r w:rsidR="00A82753" w:rsidRPr="00DF6EDA">
        <w:rPr>
          <w:sz w:val="26"/>
          <w:szCs w:val="26"/>
        </w:rPr>
        <w:t>component</w:t>
      </w:r>
      <w:r w:rsidRPr="00DF6EDA">
        <w:rPr>
          <w:sz w:val="26"/>
          <w:szCs w:val="26"/>
        </w:rPr>
        <w:t>,</w:t>
      </w:r>
      <w:r w:rsidR="00F01803" w:rsidRPr="00DF6EDA">
        <w:rPr>
          <w:sz w:val="26"/>
          <w:szCs w:val="26"/>
        </w:rPr>
        <w:t xml:space="preserve"> </w:t>
      </w:r>
      <w:proofErr w:type="gramStart"/>
      <w:r w:rsidR="00716F04">
        <w:rPr>
          <w:sz w:val="26"/>
          <w:szCs w:val="26"/>
        </w:rPr>
        <w:t xml:space="preserve">among </w:t>
      </w:r>
      <w:r w:rsidR="00D8361A">
        <w:rPr>
          <w:sz w:val="26"/>
          <w:szCs w:val="26"/>
        </w:rPr>
        <w:t>and</w:t>
      </w:r>
      <w:proofErr w:type="gramEnd"/>
      <w:r w:rsidR="00D8361A">
        <w:rPr>
          <w:sz w:val="26"/>
          <w:szCs w:val="26"/>
        </w:rPr>
        <w:t xml:space="preserve"> other issues.</w:t>
      </w:r>
    </w:p>
    <w:p w14:paraId="3A5A205B" w14:textId="5FCF88A1" w:rsidR="0076462F" w:rsidRDefault="00D63673" w:rsidP="00DF6EDA">
      <w:pPr>
        <w:rPr>
          <w:sz w:val="26"/>
          <w:szCs w:val="26"/>
        </w:rPr>
      </w:pPr>
      <w:r w:rsidRPr="00406469">
        <w:rPr>
          <w:i/>
          <w:iCs/>
          <w:sz w:val="26"/>
          <w:szCs w:val="26"/>
        </w:rPr>
        <w:t>Day-ahead LPT exports.</w:t>
      </w:r>
      <w:r>
        <w:rPr>
          <w:sz w:val="26"/>
          <w:szCs w:val="26"/>
        </w:rPr>
        <w:t xml:space="preserve"> CAISO proposes to </w:t>
      </w:r>
      <w:r w:rsidR="00A82753">
        <w:rPr>
          <w:sz w:val="26"/>
          <w:szCs w:val="26"/>
        </w:rPr>
        <w:t xml:space="preserve">include </w:t>
      </w:r>
      <w:proofErr w:type="gramStart"/>
      <w:r w:rsidR="00A82753">
        <w:rPr>
          <w:sz w:val="26"/>
          <w:szCs w:val="26"/>
        </w:rPr>
        <w:t>day-ahead</w:t>
      </w:r>
      <w:proofErr w:type="gramEnd"/>
      <w:r w:rsidR="00A82753">
        <w:rPr>
          <w:sz w:val="26"/>
          <w:szCs w:val="26"/>
        </w:rPr>
        <w:t xml:space="preserve"> LPT exports in CAISO’s RSE.  ED staff </w:t>
      </w:r>
      <w:r w:rsidR="00406469">
        <w:rPr>
          <w:sz w:val="26"/>
          <w:szCs w:val="26"/>
        </w:rPr>
        <w:t xml:space="preserve">is </w:t>
      </w:r>
      <w:r w:rsidR="00A82753">
        <w:rPr>
          <w:sz w:val="26"/>
          <w:szCs w:val="26"/>
        </w:rPr>
        <w:t>concerned that this could result in CAISO failing the RSE, even though those LPT exports can be curtailed in real-time.  In particular, ED staff notes that</w:t>
      </w:r>
      <w:r w:rsidR="0076462F">
        <w:rPr>
          <w:sz w:val="26"/>
          <w:szCs w:val="26"/>
        </w:rPr>
        <w:t xml:space="preserve"> in September 2022</w:t>
      </w:r>
      <w:r w:rsidR="00F66B09">
        <w:rPr>
          <w:sz w:val="26"/>
          <w:szCs w:val="26"/>
        </w:rPr>
        <w:t>,</w:t>
      </w:r>
      <w:r w:rsidR="00A82753">
        <w:rPr>
          <w:sz w:val="26"/>
          <w:szCs w:val="26"/>
        </w:rPr>
        <w:t xml:space="preserve"> CAISO </w:t>
      </w:r>
      <w:r w:rsidR="0076462F">
        <w:rPr>
          <w:sz w:val="26"/>
          <w:szCs w:val="26"/>
        </w:rPr>
        <w:t>cleared</w:t>
      </w:r>
      <w:r w:rsidR="00A82753">
        <w:rPr>
          <w:sz w:val="26"/>
          <w:szCs w:val="26"/>
        </w:rPr>
        <w:t xml:space="preserve"> </w:t>
      </w:r>
      <w:proofErr w:type="gramStart"/>
      <w:r w:rsidR="00A82753">
        <w:rPr>
          <w:sz w:val="26"/>
          <w:szCs w:val="26"/>
        </w:rPr>
        <w:t>day-ahead</w:t>
      </w:r>
      <w:proofErr w:type="gramEnd"/>
      <w:r w:rsidR="00A82753">
        <w:rPr>
          <w:sz w:val="26"/>
          <w:szCs w:val="26"/>
        </w:rPr>
        <w:t xml:space="preserve"> LPT exports at the same time that CAISO was in EEAs during the days in question (see figures below). </w:t>
      </w:r>
      <w:proofErr w:type="gramStart"/>
      <w:r w:rsidR="004743E2">
        <w:rPr>
          <w:sz w:val="26"/>
          <w:szCs w:val="26"/>
        </w:rPr>
        <w:t>ED</w:t>
      </w:r>
      <w:proofErr w:type="gramEnd"/>
      <w:r w:rsidR="004743E2">
        <w:rPr>
          <w:sz w:val="26"/>
          <w:szCs w:val="26"/>
        </w:rPr>
        <w:t xml:space="preserve"> </w:t>
      </w:r>
      <w:r w:rsidR="00F66B09">
        <w:rPr>
          <w:sz w:val="26"/>
          <w:szCs w:val="26"/>
        </w:rPr>
        <w:t>s</w:t>
      </w:r>
      <w:r w:rsidR="004743E2">
        <w:rPr>
          <w:sz w:val="26"/>
          <w:szCs w:val="26"/>
        </w:rPr>
        <w:t xml:space="preserve">taff is unclear and concerned as to how this could happen and what would prevent this from occurring.  ED </w:t>
      </w:r>
      <w:r w:rsidR="00F66B09">
        <w:rPr>
          <w:sz w:val="26"/>
          <w:szCs w:val="26"/>
        </w:rPr>
        <w:lastRenderedPageBreak/>
        <w:t>s</w:t>
      </w:r>
      <w:r w:rsidR="004743E2">
        <w:rPr>
          <w:sz w:val="26"/>
          <w:szCs w:val="26"/>
        </w:rPr>
        <w:t>taff has made a request for CAISO to provide additional information in response to this concern</w:t>
      </w:r>
      <w:r w:rsidR="0076462F">
        <w:rPr>
          <w:sz w:val="26"/>
          <w:szCs w:val="26"/>
        </w:rPr>
        <w:t>.</w:t>
      </w:r>
    </w:p>
    <w:p w14:paraId="6F4534B8" w14:textId="032AF91B" w:rsidR="00DD2179" w:rsidRDefault="00406469" w:rsidP="00DF6EDA">
      <w:pPr>
        <w:rPr>
          <w:sz w:val="26"/>
          <w:szCs w:val="26"/>
        </w:rPr>
      </w:pPr>
      <w:r>
        <w:rPr>
          <w:sz w:val="26"/>
          <w:szCs w:val="26"/>
        </w:rPr>
        <w:t xml:space="preserve">Inclusion of the </w:t>
      </w:r>
      <w:proofErr w:type="gramStart"/>
      <w:r>
        <w:rPr>
          <w:sz w:val="26"/>
          <w:szCs w:val="26"/>
        </w:rPr>
        <w:t>day-ahead</w:t>
      </w:r>
      <w:proofErr w:type="gramEnd"/>
      <w:r>
        <w:rPr>
          <w:sz w:val="26"/>
          <w:szCs w:val="26"/>
        </w:rPr>
        <w:t xml:space="preserve"> LPT exports in the RSE test</w:t>
      </w:r>
      <w:r w:rsidR="004743E2">
        <w:rPr>
          <w:sz w:val="26"/>
          <w:szCs w:val="26"/>
        </w:rPr>
        <w:t xml:space="preserve"> contributes to the potential for CAISO BAAs to fail</w:t>
      </w:r>
      <w:r>
        <w:rPr>
          <w:sz w:val="26"/>
          <w:szCs w:val="26"/>
        </w:rPr>
        <w:t xml:space="preserve"> the RSE test and </w:t>
      </w:r>
      <w:r w:rsidR="004743E2">
        <w:rPr>
          <w:sz w:val="26"/>
          <w:szCs w:val="26"/>
        </w:rPr>
        <w:t>be subject to</w:t>
      </w:r>
      <w:r>
        <w:rPr>
          <w:sz w:val="26"/>
          <w:szCs w:val="26"/>
        </w:rPr>
        <w:t xml:space="preserve"> penalties. In this instance, CAISO could fail the RSE because of </w:t>
      </w:r>
      <w:proofErr w:type="gramStart"/>
      <w:r w:rsidR="00DF6EDA">
        <w:rPr>
          <w:sz w:val="26"/>
          <w:szCs w:val="26"/>
        </w:rPr>
        <w:t>day-ahead</w:t>
      </w:r>
      <w:proofErr w:type="gramEnd"/>
      <w:r w:rsidR="00DF6EDA">
        <w:rPr>
          <w:sz w:val="26"/>
          <w:szCs w:val="26"/>
        </w:rPr>
        <w:t xml:space="preserve"> </w:t>
      </w:r>
      <w:r>
        <w:rPr>
          <w:sz w:val="26"/>
          <w:szCs w:val="26"/>
        </w:rPr>
        <w:t xml:space="preserve">LPT exports, and pay penalties, even though CAISO </w:t>
      </w:r>
      <w:r w:rsidR="008C0F66">
        <w:rPr>
          <w:sz w:val="26"/>
          <w:szCs w:val="26"/>
        </w:rPr>
        <w:t>could</w:t>
      </w:r>
      <w:r>
        <w:rPr>
          <w:sz w:val="26"/>
          <w:szCs w:val="26"/>
        </w:rPr>
        <w:t xml:space="preserve"> cut the </w:t>
      </w:r>
      <w:r w:rsidR="00C27352">
        <w:rPr>
          <w:sz w:val="26"/>
          <w:szCs w:val="26"/>
        </w:rPr>
        <w:t xml:space="preserve">LPT </w:t>
      </w:r>
      <w:r>
        <w:rPr>
          <w:sz w:val="26"/>
          <w:szCs w:val="26"/>
        </w:rPr>
        <w:t>exports</w:t>
      </w:r>
      <w:r w:rsidR="008C0F66">
        <w:rPr>
          <w:sz w:val="26"/>
          <w:szCs w:val="26"/>
        </w:rPr>
        <w:t xml:space="preserve"> to avoid a failure of the RSE</w:t>
      </w:r>
      <w:r w:rsidR="00DF6EDA">
        <w:rPr>
          <w:sz w:val="26"/>
          <w:szCs w:val="26"/>
        </w:rPr>
        <w:t xml:space="preserve">.  </w:t>
      </w:r>
      <w:r w:rsidR="00F66B09">
        <w:rPr>
          <w:sz w:val="26"/>
          <w:szCs w:val="26"/>
        </w:rPr>
        <w:t xml:space="preserve">For example, assume CAISO is resource sufficient, except for 1,000 MW of intertie imports supporting </w:t>
      </w:r>
      <w:proofErr w:type="gramStart"/>
      <w:r w:rsidR="00F66B09">
        <w:rPr>
          <w:sz w:val="26"/>
          <w:szCs w:val="26"/>
        </w:rPr>
        <w:t>day-ahead</w:t>
      </w:r>
      <w:proofErr w:type="gramEnd"/>
      <w:r w:rsidR="00F66B09">
        <w:rPr>
          <w:sz w:val="26"/>
          <w:szCs w:val="26"/>
        </w:rPr>
        <w:t xml:space="preserve"> LPT exports, that clear RUC and HASP, but at that point the intertie goes down.  CAISO fails the RSE because it </w:t>
      </w:r>
      <w:r w:rsidR="00403A9C">
        <w:rPr>
          <w:sz w:val="26"/>
          <w:szCs w:val="26"/>
        </w:rPr>
        <w:t xml:space="preserve">proposes to </w:t>
      </w:r>
      <w:r w:rsidR="00F66B09">
        <w:rPr>
          <w:sz w:val="26"/>
          <w:szCs w:val="26"/>
        </w:rPr>
        <w:t xml:space="preserve">include day-ahead LPT RUC and HASP cleared exports, and must pay a penalty, even though the CAISO BAA was itself resource sufficient. </w:t>
      </w:r>
      <w:r w:rsidR="00DF6EDA">
        <w:rPr>
          <w:sz w:val="26"/>
          <w:szCs w:val="26"/>
        </w:rPr>
        <w:t>T</w:t>
      </w:r>
      <w:r>
        <w:rPr>
          <w:sz w:val="26"/>
          <w:szCs w:val="26"/>
        </w:rPr>
        <w:t>hus, these penalties are not following cost-causation principles</w:t>
      </w:r>
      <w:r w:rsidR="00C27352">
        <w:rPr>
          <w:sz w:val="26"/>
          <w:szCs w:val="26"/>
        </w:rPr>
        <w:t xml:space="preserve">, in that they are imposed broadly on </w:t>
      </w:r>
      <w:r w:rsidR="0076462F">
        <w:rPr>
          <w:sz w:val="26"/>
          <w:szCs w:val="26"/>
        </w:rPr>
        <w:t xml:space="preserve">customers within </w:t>
      </w:r>
      <w:r w:rsidR="00C27352">
        <w:rPr>
          <w:sz w:val="26"/>
          <w:szCs w:val="26"/>
        </w:rPr>
        <w:t xml:space="preserve">CAISO and not </w:t>
      </w:r>
      <w:r w:rsidR="00A31146">
        <w:rPr>
          <w:sz w:val="26"/>
          <w:szCs w:val="26"/>
        </w:rPr>
        <w:t>on</w:t>
      </w:r>
      <w:r w:rsidR="00C27352">
        <w:rPr>
          <w:sz w:val="26"/>
          <w:szCs w:val="26"/>
        </w:rPr>
        <w:t xml:space="preserve"> LPT exports that potentially ca</w:t>
      </w:r>
      <w:r w:rsidR="0076462F">
        <w:rPr>
          <w:sz w:val="26"/>
          <w:szCs w:val="26"/>
        </w:rPr>
        <w:t>u</w:t>
      </w:r>
      <w:r w:rsidR="00C27352">
        <w:rPr>
          <w:sz w:val="26"/>
          <w:szCs w:val="26"/>
        </w:rPr>
        <w:t>se the RSE failure in the first place</w:t>
      </w:r>
      <w:r>
        <w:rPr>
          <w:sz w:val="26"/>
          <w:szCs w:val="26"/>
        </w:rPr>
        <w:t xml:space="preserve">. </w:t>
      </w:r>
    </w:p>
    <w:p w14:paraId="64AD7AD0" w14:textId="7FBDF882" w:rsidR="00A82753" w:rsidRDefault="00A82753" w:rsidP="00A82753">
      <w:pPr>
        <w:jc w:val="center"/>
        <w:rPr>
          <w:sz w:val="26"/>
          <w:szCs w:val="26"/>
        </w:rPr>
      </w:pPr>
      <w:r>
        <w:rPr>
          <w:noProof/>
        </w:rPr>
        <w:drawing>
          <wp:inline distT="0" distB="0" distL="0" distR="0" wp14:anchorId="35F386B1" wp14:editId="301E0385">
            <wp:extent cx="4803690" cy="2981325"/>
            <wp:effectExtent l="0" t="0" r="0" b="0"/>
            <wp:docPr id="1889885137" name="Picture 1" descr="California ISO - All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ISO - All commen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8000" cy="2984000"/>
                    </a:xfrm>
                    <a:prstGeom prst="rect">
                      <a:avLst/>
                    </a:prstGeom>
                    <a:noFill/>
                    <a:ln>
                      <a:noFill/>
                    </a:ln>
                  </pic:spPr>
                </pic:pic>
              </a:graphicData>
            </a:graphic>
          </wp:inline>
        </w:drawing>
      </w:r>
    </w:p>
    <w:p w14:paraId="7E5B12B3" w14:textId="4237CFBA" w:rsidR="00F66B09" w:rsidRPr="002879C8" w:rsidRDefault="00F66B09" w:rsidP="00F66B09">
      <w:pPr>
        <w:jc w:val="center"/>
        <w:rPr>
          <w:sz w:val="26"/>
          <w:szCs w:val="26"/>
        </w:rPr>
      </w:pPr>
      <w:r>
        <w:rPr>
          <w:sz w:val="26"/>
          <w:szCs w:val="26"/>
        </w:rPr>
        <w:t xml:space="preserve">Source: </w:t>
      </w:r>
      <w:hyperlink r:id="rId23" w:history="1">
        <w:r>
          <w:rPr>
            <w:rStyle w:val="Hyperlink"/>
          </w:rPr>
          <w:t>SummerMarketPerformanceReportforSeptember2022.pdf (caiso.com)</w:t>
        </w:r>
      </w:hyperlink>
      <w:r>
        <w:t xml:space="preserve">, p. </w:t>
      </w:r>
      <w:r>
        <w:t>128</w:t>
      </w:r>
      <w:r>
        <w:t>.</w:t>
      </w:r>
    </w:p>
    <w:p w14:paraId="39835A72" w14:textId="06E96447" w:rsidR="00F66B09" w:rsidRDefault="00F66B09" w:rsidP="00F66B09">
      <w:pPr>
        <w:rPr>
          <w:sz w:val="26"/>
          <w:szCs w:val="26"/>
        </w:rPr>
      </w:pPr>
    </w:p>
    <w:p w14:paraId="2E3B7C9A" w14:textId="64583398" w:rsidR="00A82753" w:rsidRPr="00A82753" w:rsidRDefault="00A82753" w:rsidP="00A82753">
      <w:pPr>
        <w:jc w:val="center"/>
        <w:rPr>
          <w:sz w:val="26"/>
          <w:szCs w:val="26"/>
        </w:rPr>
      </w:pPr>
      <w:r>
        <w:rPr>
          <w:noProof/>
        </w:rPr>
        <w:lastRenderedPageBreak/>
        <w:drawing>
          <wp:inline distT="0" distB="0" distL="0" distR="0" wp14:anchorId="26C0468E" wp14:editId="1A65F4DC">
            <wp:extent cx="5943600" cy="2558415"/>
            <wp:effectExtent l="0" t="0" r="0" b="0"/>
            <wp:docPr id="1335965800"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558415"/>
                    </a:xfrm>
                    <a:prstGeom prst="rect">
                      <a:avLst/>
                    </a:prstGeom>
                    <a:noFill/>
                    <a:ln>
                      <a:noFill/>
                    </a:ln>
                  </pic:spPr>
                </pic:pic>
              </a:graphicData>
            </a:graphic>
          </wp:inline>
        </w:drawing>
      </w:r>
    </w:p>
    <w:p w14:paraId="2555FD16" w14:textId="760C561F" w:rsidR="00F66B09" w:rsidRPr="002879C8" w:rsidRDefault="00F66B09" w:rsidP="00F66B09">
      <w:pPr>
        <w:jc w:val="center"/>
        <w:rPr>
          <w:sz w:val="26"/>
          <w:szCs w:val="26"/>
        </w:rPr>
      </w:pPr>
      <w:r>
        <w:rPr>
          <w:sz w:val="26"/>
          <w:szCs w:val="26"/>
        </w:rPr>
        <w:t xml:space="preserve">Source: </w:t>
      </w:r>
      <w:hyperlink r:id="rId25" w:history="1">
        <w:r>
          <w:rPr>
            <w:rStyle w:val="Hyperlink"/>
          </w:rPr>
          <w:t>SummerMarketPerformanceReportforSeptember2022.pdf (caiso.com)</w:t>
        </w:r>
      </w:hyperlink>
      <w:r>
        <w:t>, p. 1</w:t>
      </w:r>
      <w:r>
        <w:t>01</w:t>
      </w:r>
      <w:r>
        <w:t>.</w:t>
      </w:r>
    </w:p>
    <w:p w14:paraId="2B740960" w14:textId="6EDB0EAE" w:rsidR="00A82753" w:rsidRDefault="00A82753" w:rsidP="00A82753">
      <w:pPr>
        <w:pStyle w:val="ListParagraph"/>
        <w:ind w:left="1440"/>
        <w:rPr>
          <w:sz w:val="26"/>
          <w:szCs w:val="26"/>
        </w:rPr>
      </w:pPr>
    </w:p>
    <w:p w14:paraId="0FCCB2B3" w14:textId="05D3EBBC" w:rsidR="007F6EA3" w:rsidRDefault="00D63673" w:rsidP="00DF6EDA">
      <w:pPr>
        <w:rPr>
          <w:sz w:val="26"/>
          <w:szCs w:val="26"/>
        </w:rPr>
      </w:pPr>
      <w:r w:rsidRPr="00DF6EDA">
        <w:rPr>
          <w:i/>
          <w:iCs/>
          <w:sz w:val="26"/>
          <w:szCs w:val="26"/>
        </w:rPr>
        <w:t>Uncertainty</w:t>
      </w:r>
      <w:r w:rsidR="00BD3762" w:rsidRPr="00DF6EDA">
        <w:rPr>
          <w:sz w:val="26"/>
          <w:szCs w:val="26"/>
        </w:rPr>
        <w:t>.  CAISO has proposed that</w:t>
      </w:r>
      <w:r w:rsidR="00406469" w:rsidRPr="00DF6EDA">
        <w:rPr>
          <w:sz w:val="26"/>
          <w:szCs w:val="26"/>
        </w:rPr>
        <w:t xml:space="preserve"> the</w:t>
      </w:r>
      <w:r w:rsidR="00BD3762" w:rsidRPr="00DF6EDA">
        <w:rPr>
          <w:sz w:val="26"/>
          <w:szCs w:val="26"/>
        </w:rPr>
        <w:t xml:space="preserve"> uncertainty component </w:t>
      </w:r>
      <w:r w:rsidR="00406469" w:rsidRPr="00DF6EDA">
        <w:rPr>
          <w:sz w:val="26"/>
          <w:szCs w:val="26"/>
        </w:rPr>
        <w:t xml:space="preserve">be included in the RSE after the </w:t>
      </w:r>
      <w:r w:rsidR="00BD3762" w:rsidRPr="00DF6EDA">
        <w:rPr>
          <w:sz w:val="26"/>
          <w:szCs w:val="26"/>
        </w:rPr>
        <w:t xml:space="preserve">revised uncertainty calculation in the flexible ramping product (FRP) is implemented and understood.  </w:t>
      </w:r>
      <w:r w:rsidR="00C27352">
        <w:rPr>
          <w:sz w:val="26"/>
          <w:szCs w:val="26"/>
        </w:rPr>
        <w:t>This uncertainty can increase the CAISO BAA’s RSE requirement by up to 2,000 MW in some hour</w:t>
      </w:r>
      <w:r w:rsidR="0076462F">
        <w:rPr>
          <w:sz w:val="26"/>
          <w:szCs w:val="26"/>
        </w:rPr>
        <w:t>s</w:t>
      </w:r>
      <w:r w:rsidR="003F0F34">
        <w:rPr>
          <w:sz w:val="26"/>
          <w:szCs w:val="26"/>
        </w:rPr>
        <w:t xml:space="preserve">. </w:t>
      </w:r>
      <w:r w:rsidR="008C0F66">
        <w:rPr>
          <w:sz w:val="26"/>
          <w:szCs w:val="26"/>
        </w:rPr>
        <w:t>This could result in</w:t>
      </w:r>
      <w:r w:rsidR="00C27352">
        <w:rPr>
          <w:sz w:val="26"/>
          <w:szCs w:val="26"/>
        </w:rPr>
        <w:t xml:space="preserve"> adversely affect</w:t>
      </w:r>
      <w:r w:rsidR="008C0F66">
        <w:rPr>
          <w:sz w:val="26"/>
          <w:szCs w:val="26"/>
        </w:rPr>
        <w:t>ing</w:t>
      </w:r>
      <w:r w:rsidR="00C27352">
        <w:rPr>
          <w:sz w:val="26"/>
          <w:szCs w:val="26"/>
        </w:rPr>
        <w:t xml:space="preserve"> CAISO’s ability to pass the RSE</w:t>
      </w:r>
      <w:r w:rsidR="007F6EA3">
        <w:rPr>
          <w:sz w:val="26"/>
          <w:szCs w:val="26"/>
        </w:rPr>
        <w:t>.</w:t>
      </w:r>
      <w:r w:rsidR="00BD3762" w:rsidRPr="00DF6EDA">
        <w:rPr>
          <w:sz w:val="26"/>
          <w:szCs w:val="26"/>
        </w:rPr>
        <w:t xml:space="preserve"> </w:t>
      </w:r>
      <w:r w:rsidR="007F6EA3">
        <w:rPr>
          <w:sz w:val="26"/>
          <w:szCs w:val="26"/>
        </w:rPr>
        <w:t>S</w:t>
      </w:r>
      <w:r w:rsidR="00BD3762" w:rsidRPr="00DF6EDA">
        <w:rPr>
          <w:sz w:val="26"/>
          <w:szCs w:val="26"/>
        </w:rPr>
        <w:t xml:space="preserve">ome stakeholders have indicated that because of the way it is formulated, the uncertainty component will be volatile.  For example, DMM has stated that </w:t>
      </w:r>
      <w:r w:rsidR="00481369" w:rsidRPr="00DF6EDA">
        <w:rPr>
          <w:sz w:val="26"/>
          <w:szCs w:val="26"/>
        </w:rPr>
        <w:t>“even with more testing, the quantile regression method that will be used to calculate the uncertainty adder included in the test will fluctuate significantly interval by interval, making it difficult for balancing areas to reproduce or predict in advance</w:t>
      </w:r>
      <w:r w:rsidR="0076462F">
        <w:rPr>
          <w:sz w:val="26"/>
          <w:szCs w:val="26"/>
        </w:rPr>
        <w:t>,</w:t>
      </w:r>
      <w:r w:rsidR="00481369" w:rsidRPr="00DF6EDA">
        <w:rPr>
          <w:sz w:val="26"/>
          <w:szCs w:val="26"/>
        </w:rPr>
        <w:t>” and that as a result, “DMM continues to recommend that the ISO and stakeholders consider developing much simpler and more transparent uncertainty adders in the next phase of this initiative.”</w:t>
      </w:r>
      <w:r w:rsidR="00DF6EDA">
        <w:rPr>
          <w:rStyle w:val="FootnoteReference"/>
          <w:sz w:val="26"/>
          <w:szCs w:val="26"/>
        </w:rPr>
        <w:footnoteReference w:id="11"/>
      </w:r>
      <w:r w:rsidR="00481369" w:rsidRPr="00DF6EDA">
        <w:rPr>
          <w:sz w:val="26"/>
          <w:szCs w:val="26"/>
        </w:rPr>
        <w:t xml:space="preserve">  </w:t>
      </w:r>
    </w:p>
    <w:p w14:paraId="4ADAC05C" w14:textId="2B1EFB0A" w:rsidR="00DD2179" w:rsidRPr="00DF6EDA" w:rsidRDefault="00481369" w:rsidP="00DF6EDA">
      <w:pPr>
        <w:rPr>
          <w:sz w:val="26"/>
          <w:szCs w:val="26"/>
        </w:rPr>
      </w:pPr>
      <w:r w:rsidRPr="00DF6EDA">
        <w:rPr>
          <w:sz w:val="26"/>
          <w:szCs w:val="26"/>
        </w:rPr>
        <w:t xml:space="preserve">ED staff’s concern here is that the effect of the uncertainty adder </w:t>
      </w:r>
      <w:r w:rsidR="00406469" w:rsidRPr="00DF6EDA">
        <w:rPr>
          <w:sz w:val="26"/>
          <w:szCs w:val="26"/>
        </w:rPr>
        <w:t xml:space="preserve">on RSE failures is </w:t>
      </w:r>
      <w:r w:rsidR="008C0F66">
        <w:rPr>
          <w:sz w:val="26"/>
          <w:szCs w:val="26"/>
        </w:rPr>
        <w:t xml:space="preserve">currently </w:t>
      </w:r>
      <w:r w:rsidR="00406469" w:rsidRPr="00DF6EDA">
        <w:rPr>
          <w:sz w:val="26"/>
          <w:szCs w:val="26"/>
        </w:rPr>
        <w:t>unknown.</w:t>
      </w:r>
      <w:r w:rsidRPr="00DF6EDA">
        <w:rPr>
          <w:sz w:val="26"/>
          <w:szCs w:val="26"/>
        </w:rPr>
        <w:t xml:space="preserve">  Thus, </w:t>
      </w:r>
      <w:r w:rsidR="00406469" w:rsidRPr="00DF6EDA">
        <w:rPr>
          <w:sz w:val="26"/>
          <w:szCs w:val="26"/>
        </w:rPr>
        <w:t xml:space="preserve">ED staff’s position is that it is unjust and unreasonable to opt into the energy assistance program without understanding </w:t>
      </w:r>
      <w:proofErr w:type="gramStart"/>
      <w:r w:rsidR="0076462F">
        <w:rPr>
          <w:sz w:val="26"/>
          <w:szCs w:val="26"/>
        </w:rPr>
        <w:t>all of</w:t>
      </w:r>
      <w:proofErr w:type="gramEnd"/>
      <w:r w:rsidR="0076462F">
        <w:rPr>
          <w:sz w:val="26"/>
          <w:szCs w:val="26"/>
        </w:rPr>
        <w:t xml:space="preserve"> the</w:t>
      </w:r>
      <w:r w:rsidR="00406469" w:rsidRPr="00DF6EDA">
        <w:rPr>
          <w:sz w:val="26"/>
          <w:szCs w:val="26"/>
        </w:rPr>
        <w:t xml:space="preserve"> potential costs and benefits, including consideration of as-yet-to be quantified uncertainty requirements. </w:t>
      </w:r>
    </w:p>
    <w:p w14:paraId="037B2642" w14:textId="77777777" w:rsidR="00F66B09" w:rsidRDefault="00F66B09" w:rsidP="00DF6EDA">
      <w:pPr>
        <w:rPr>
          <w:i/>
          <w:iCs/>
          <w:sz w:val="26"/>
          <w:szCs w:val="26"/>
        </w:rPr>
      </w:pPr>
    </w:p>
    <w:p w14:paraId="411288C7" w14:textId="5250DEAB" w:rsidR="00DF6EDA" w:rsidRPr="00DF6EDA" w:rsidRDefault="00DF6EDA" w:rsidP="00DF6EDA">
      <w:pPr>
        <w:rPr>
          <w:i/>
          <w:iCs/>
          <w:sz w:val="26"/>
          <w:szCs w:val="26"/>
        </w:rPr>
      </w:pPr>
      <w:r>
        <w:rPr>
          <w:i/>
          <w:iCs/>
          <w:sz w:val="26"/>
          <w:szCs w:val="26"/>
        </w:rPr>
        <w:lastRenderedPageBreak/>
        <w:t>Other Design Flaws</w:t>
      </w:r>
    </w:p>
    <w:p w14:paraId="23759D8B" w14:textId="2677672D" w:rsidR="00406469" w:rsidRPr="007F6EA3" w:rsidRDefault="0076462F" w:rsidP="00DF6EDA">
      <w:pPr>
        <w:rPr>
          <w:rFonts w:ascii="Calibri" w:hAnsi="Calibri" w:cs="Calibri"/>
          <w:sz w:val="26"/>
          <w:szCs w:val="26"/>
        </w:rPr>
      </w:pPr>
      <w:r>
        <w:rPr>
          <w:rFonts w:ascii="Calibri" w:hAnsi="Calibri" w:cs="Calibri"/>
          <w:sz w:val="26"/>
          <w:szCs w:val="26"/>
        </w:rPr>
        <w:t xml:space="preserve">Finally, </w:t>
      </w:r>
      <w:r w:rsidR="00406469" w:rsidRPr="007F6EA3">
        <w:rPr>
          <w:rFonts w:ascii="Calibri" w:hAnsi="Calibri" w:cs="Calibri"/>
          <w:sz w:val="26"/>
          <w:szCs w:val="26"/>
        </w:rPr>
        <w:t xml:space="preserve">ED staff </w:t>
      </w:r>
      <w:r w:rsidR="008C0F66">
        <w:rPr>
          <w:rFonts w:ascii="Calibri" w:hAnsi="Calibri" w:cs="Calibri"/>
          <w:sz w:val="26"/>
          <w:szCs w:val="26"/>
        </w:rPr>
        <w:t>disagree</w:t>
      </w:r>
      <w:r w:rsidR="00F66B09">
        <w:rPr>
          <w:rFonts w:ascii="Calibri" w:hAnsi="Calibri" w:cs="Calibri"/>
          <w:sz w:val="26"/>
          <w:szCs w:val="26"/>
        </w:rPr>
        <w:t>s</w:t>
      </w:r>
      <w:r w:rsidR="008C0F66">
        <w:rPr>
          <w:rFonts w:ascii="Calibri" w:hAnsi="Calibri" w:cs="Calibri"/>
          <w:sz w:val="26"/>
          <w:szCs w:val="26"/>
        </w:rPr>
        <w:t xml:space="preserve"> with</w:t>
      </w:r>
      <w:r w:rsidR="00406469" w:rsidRPr="007F6EA3">
        <w:rPr>
          <w:rFonts w:ascii="Calibri" w:hAnsi="Calibri" w:cs="Calibri"/>
          <w:sz w:val="26"/>
          <w:szCs w:val="26"/>
        </w:rPr>
        <w:t xml:space="preserve"> CAISO opting into the program because of the current </w:t>
      </w:r>
      <w:r w:rsidR="008C0F66">
        <w:rPr>
          <w:rFonts w:ascii="Calibri" w:hAnsi="Calibri" w:cs="Calibri"/>
          <w:sz w:val="26"/>
          <w:szCs w:val="26"/>
        </w:rPr>
        <w:t>shortfalls</w:t>
      </w:r>
      <w:r w:rsidR="00406469" w:rsidRPr="007F6EA3">
        <w:rPr>
          <w:rFonts w:ascii="Calibri" w:hAnsi="Calibri" w:cs="Calibri"/>
          <w:sz w:val="26"/>
          <w:szCs w:val="26"/>
        </w:rPr>
        <w:t xml:space="preserve"> in the RSE design and implementation</w:t>
      </w:r>
      <w:r w:rsidR="007F6EA3">
        <w:rPr>
          <w:rFonts w:ascii="Calibri" w:hAnsi="Calibri" w:cs="Calibri"/>
          <w:sz w:val="26"/>
          <w:szCs w:val="26"/>
        </w:rPr>
        <w:t xml:space="preserve">. </w:t>
      </w:r>
      <w:r w:rsidR="007F6EA3" w:rsidRPr="007F6EA3">
        <w:rPr>
          <w:rFonts w:ascii="Calibri" w:hAnsi="Calibri" w:cs="Calibri"/>
          <w:sz w:val="26"/>
          <w:szCs w:val="26"/>
          <w:shd w:val="clear" w:color="auto" w:fill="FFFFFF"/>
        </w:rPr>
        <w:t xml:space="preserve">As noted by CAISO in its Summer Market Performance Report, there were </w:t>
      </w:r>
      <w:proofErr w:type="gramStart"/>
      <w:r w:rsidR="007F6EA3">
        <w:rPr>
          <w:rFonts w:ascii="Calibri" w:hAnsi="Calibri" w:cs="Calibri"/>
          <w:sz w:val="26"/>
          <w:szCs w:val="26"/>
          <w:shd w:val="clear" w:color="auto" w:fill="FFFFFF"/>
        </w:rPr>
        <w:t>a number of</w:t>
      </w:r>
      <w:proofErr w:type="gramEnd"/>
      <w:r w:rsidR="007F6EA3">
        <w:rPr>
          <w:rFonts w:ascii="Calibri" w:hAnsi="Calibri" w:cs="Calibri"/>
          <w:sz w:val="26"/>
          <w:szCs w:val="26"/>
          <w:shd w:val="clear" w:color="auto" w:fill="FFFFFF"/>
        </w:rPr>
        <w:t xml:space="preserve"> </w:t>
      </w:r>
      <w:r w:rsidR="007F6EA3" w:rsidRPr="007F6EA3">
        <w:rPr>
          <w:rFonts w:ascii="Calibri" w:hAnsi="Calibri" w:cs="Calibri"/>
          <w:sz w:val="26"/>
          <w:szCs w:val="26"/>
          <w:shd w:val="clear" w:color="auto" w:fill="FFFFFF"/>
        </w:rPr>
        <w:t>reasons that the RSE test did not accurately reflect capacity available to the CAISO during stressed system conditions</w:t>
      </w:r>
      <w:r w:rsidR="008C0F66">
        <w:rPr>
          <w:rFonts w:ascii="Calibri" w:hAnsi="Calibri" w:cs="Calibri"/>
          <w:sz w:val="26"/>
          <w:szCs w:val="26"/>
          <w:shd w:val="clear" w:color="auto" w:fill="FFFFFF"/>
        </w:rPr>
        <w:t>.  These reasons are</w:t>
      </w:r>
      <w:r w:rsidR="007F6EA3" w:rsidRPr="007F6EA3">
        <w:rPr>
          <w:rFonts w:ascii="Calibri" w:hAnsi="Calibri" w:cs="Calibri"/>
          <w:sz w:val="26"/>
          <w:szCs w:val="26"/>
          <w:shd w:val="clear" w:color="auto" w:fill="FFFFFF"/>
        </w:rPr>
        <w:t xml:space="preserve"> summarized as follows:  1) </w:t>
      </w:r>
      <w:r w:rsidR="002C4965">
        <w:rPr>
          <w:rFonts w:ascii="Calibri" w:hAnsi="Calibri" w:cs="Calibri"/>
          <w:sz w:val="26"/>
          <w:szCs w:val="26"/>
          <w:shd w:val="clear" w:color="auto" w:fill="FFFFFF"/>
        </w:rPr>
        <w:t>the capacity resulting from arming l</w:t>
      </w:r>
      <w:r w:rsidR="007F6EA3" w:rsidRPr="007F6EA3">
        <w:rPr>
          <w:rFonts w:ascii="Calibri" w:hAnsi="Calibri" w:cs="Calibri"/>
          <w:sz w:val="26"/>
          <w:szCs w:val="26"/>
          <w:shd w:val="clear" w:color="auto" w:fill="FFFFFF"/>
        </w:rPr>
        <w:t xml:space="preserve">oad in EEA3 was not counted the RSE; 2) more capacity was available </w:t>
      </w:r>
      <w:r w:rsidR="002C4965">
        <w:rPr>
          <w:rFonts w:ascii="Calibri" w:hAnsi="Calibri" w:cs="Calibri"/>
          <w:sz w:val="26"/>
          <w:szCs w:val="26"/>
          <w:shd w:val="clear" w:color="auto" w:fill="FFFFFF"/>
        </w:rPr>
        <w:t xml:space="preserve">from </w:t>
      </w:r>
      <w:r w:rsidR="002C4965" w:rsidRPr="007F6EA3">
        <w:rPr>
          <w:rFonts w:ascii="Calibri" w:hAnsi="Calibri" w:cs="Calibri"/>
          <w:sz w:val="26"/>
          <w:szCs w:val="26"/>
          <w:shd w:val="clear" w:color="auto" w:fill="FFFFFF"/>
        </w:rPr>
        <w:t xml:space="preserve">MSG transitions </w:t>
      </w:r>
      <w:r w:rsidR="007F6EA3" w:rsidRPr="007F6EA3">
        <w:rPr>
          <w:rFonts w:ascii="Calibri" w:hAnsi="Calibri" w:cs="Calibri"/>
          <w:sz w:val="26"/>
          <w:szCs w:val="26"/>
          <w:shd w:val="clear" w:color="auto" w:fill="FFFFFF"/>
        </w:rPr>
        <w:t xml:space="preserve">than was reflected in the test; 3) </w:t>
      </w:r>
      <w:r w:rsidR="002C4965" w:rsidRPr="007F6EA3">
        <w:rPr>
          <w:rFonts w:ascii="Calibri" w:hAnsi="Calibri" w:cs="Calibri"/>
          <w:sz w:val="26"/>
          <w:szCs w:val="26"/>
          <w:shd w:val="clear" w:color="auto" w:fill="FFFFFF"/>
        </w:rPr>
        <w:t>the ETC/TOR did not properly register as a whee</w:t>
      </w:r>
      <w:r w:rsidR="00A31146">
        <w:rPr>
          <w:rFonts w:ascii="Calibri" w:hAnsi="Calibri" w:cs="Calibri"/>
          <w:sz w:val="26"/>
          <w:szCs w:val="26"/>
          <w:shd w:val="clear" w:color="auto" w:fill="FFFFFF"/>
        </w:rPr>
        <w:t>l</w:t>
      </w:r>
      <w:r w:rsidR="002C4965">
        <w:rPr>
          <w:rFonts w:ascii="Calibri" w:hAnsi="Calibri" w:cs="Calibri"/>
          <w:sz w:val="26"/>
          <w:szCs w:val="26"/>
          <w:shd w:val="clear" w:color="auto" w:fill="FFFFFF"/>
        </w:rPr>
        <w:t>, so</w:t>
      </w:r>
      <w:r w:rsidR="002C4965" w:rsidRPr="007F6EA3">
        <w:rPr>
          <w:rFonts w:ascii="Calibri" w:hAnsi="Calibri" w:cs="Calibri"/>
          <w:sz w:val="26"/>
          <w:szCs w:val="26"/>
          <w:shd w:val="clear" w:color="auto" w:fill="FFFFFF"/>
        </w:rPr>
        <w:t xml:space="preserve"> </w:t>
      </w:r>
      <w:r w:rsidR="007F6EA3" w:rsidRPr="007F6EA3">
        <w:rPr>
          <w:rFonts w:ascii="Calibri" w:hAnsi="Calibri" w:cs="Calibri"/>
          <w:sz w:val="26"/>
          <w:szCs w:val="26"/>
          <w:shd w:val="clear" w:color="auto" w:fill="FFFFFF"/>
        </w:rPr>
        <w:t xml:space="preserve">less capacity was </w:t>
      </w:r>
      <w:r w:rsidR="002C4965">
        <w:rPr>
          <w:rFonts w:ascii="Calibri" w:hAnsi="Calibri" w:cs="Calibri"/>
          <w:sz w:val="26"/>
          <w:szCs w:val="26"/>
          <w:shd w:val="clear" w:color="auto" w:fill="FFFFFF"/>
        </w:rPr>
        <w:t xml:space="preserve">actually </w:t>
      </w:r>
      <w:r w:rsidR="007F6EA3" w:rsidRPr="007F6EA3">
        <w:rPr>
          <w:rFonts w:ascii="Calibri" w:hAnsi="Calibri" w:cs="Calibri"/>
          <w:sz w:val="26"/>
          <w:szCs w:val="26"/>
          <w:shd w:val="clear" w:color="auto" w:fill="FFFFFF"/>
        </w:rPr>
        <w:t xml:space="preserve">available than </w:t>
      </w:r>
      <w:r w:rsidR="002C4965">
        <w:rPr>
          <w:rFonts w:ascii="Calibri" w:hAnsi="Calibri" w:cs="Calibri"/>
          <w:sz w:val="26"/>
          <w:szCs w:val="26"/>
          <w:shd w:val="clear" w:color="auto" w:fill="FFFFFF"/>
        </w:rPr>
        <w:t xml:space="preserve">was included </w:t>
      </w:r>
      <w:r w:rsidR="007F6EA3" w:rsidRPr="007F6EA3">
        <w:rPr>
          <w:rFonts w:ascii="Calibri" w:hAnsi="Calibri" w:cs="Calibri"/>
          <w:sz w:val="26"/>
          <w:szCs w:val="26"/>
          <w:shd w:val="clear" w:color="auto" w:fill="FFFFFF"/>
        </w:rPr>
        <w:t xml:space="preserve">in the test </w:t>
      </w:r>
      <w:r w:rsidR="002C4965">
        <w:rPr>
          <w:rFonts w:ascii="Calibri" w:hAnsi="Calibri" w:cs="Calibri"/>
          <w:sz w:val="26"/>
          <w:szCs w:val="26"/>
          <w:shd w:val="clear" w:color="auto" w:fill="FFFFFF"/>
        </w:rPr>
        <w:t>(</w:t>
      </w:r>
      <w:r w:rsidR="007F6EA3" w:rsidRPr="007F6EA3">
        <w:rPr>
          <w:rFonts w:ascii="Calibri" w:hAnsi="Calibri" w:cs="Calibri"/>
          <w:sz w:val="26"/>
          <w:szCs w:val="26"/>
          <w:shd w:val="clear" w:color="auto" w:fill="FFFFFF"/>
        </w:rPr>
        <w:t>and the export cut was reversed after the test</w:t>
      </w:r>
      <w:r w:rsidR="002C4965">
        <w:rPr>
          <w:rFonts w:ascii="Calibri" w:hAnsi="Calibri" w:cs="Calibri"/>
          <w:sz w:val="26"/>
          <w:szCs w:val="26"/>
          <w:shd w:val="clear" w:color="auto" w:fill="FFFFFF"/>
        </w:rPr>
        <w:t>)</w:t>
      </w:r>
      <w:r w:rsidR="007F6EA3" w:rsidRPr="007F6EA3">
        <w:rPr>
          <w:rFonts w:ascii="Calibri" w:hAnsi="Calibri" w:cs="Calibri"/>
          <w:sz w:val="26"/>
          <w:szCs w:val="26"/>
          <w:shd w:val="clear" w:color="auto" w:fill="FFFFFF"/>
        </w:rPr>
        <w:t xml:space="preserve">; </w:t>
      </w:r>
      <w:r w:rsidR="007F6EA3">
        <w:rPr>
          <w:rFonts w:ascii="Calibri" w:hAnsi="Calibri" w:cs="Calibri"/>
          <w:sz w:val="26"/>
          <w:szCs w:val="26"/>
          <w:shd w:val="clear" w:color="auto" w:fill="FFFFFF"/>
        </w:rPr>
        <w:t>4</w:t>
      </w:r>
      <w:r w:rsidR="007F6EA3" w:rsidRPr="007F6EA3">
        <w:rPr>
          <w:rFonts w:ascii="Calibri" w:hAnsi="Calibri" w:cs="Calibri"/>
          <w:sz w:val="26"/>
          <w:szCs w:val="26"/>
          <w:shd w:val="clear" w:color="auto" w:fill="FFFFFF"/>
        </w:rPr>
        <w:t xml:space="preserve">) </w:t>
      </w:r>
      <w:r w:rsidR="002C4965">
        <w:rPr>
          <w:rFonts w:ascii="Calibri" w:hAnsi="Calibri" w:cs="Calibri"/>
          <w:sz w:val="26"/>
          <w:szCs w:val="26"/>
          <w:shd w:val="clear" w:color="auto" w:fill="FFFFFF"/>
        </w:rPr>
        <w:t>s</w:t>
      </w:r>
      <w:r w:rsidR="007F6EA3" w:rsidRPr="007F6EA3">
        <w:rPr>
          <w:rFonts w:ascii="Calibri" w:hAnsi="Calibri" w:cs="Calibri"/>
          <w:sz w:val="26"/>
          <w:szCs w:val="26"/>
          <w:shd w:val="clear" w:color="auto" w:fill="FFFFFF"/>
        </w:rPr>
        <w:t xml:space="preserve">torage resources </w:t>
      </w:r>
      <w:r w:rsidR="002C4965">
        <w:rPr>
          <w:rFonts w:ascii="Calibri" w:hAnsi="Calibri" w:cs="Calibri"/>
          <w:sz w:val="26"/>
          <w:szCs w:val="26"/>
          <w:shd w:val="clear" w:color="auto" w:fill="FFFFFF"/>
        </w:rPr>
        <w:t>were</w:t>
      </w:r>
      <w:r w:rsidR="002C4965" w:rsidRPr="007F6EA3">
        <w:rPr>
          <w:rFonts w:ascii="Calibri" w:hAnsi="Calibri" w:cs="Calibri"/>
          <w:sz w:val="26"/>
          <w:szCs w:val="26"/>
          <w:shd w:val="clear" w:color="auto" w:fill="FFFFFF"/>
        </w:rPr>
        <w:t xml:space="preserve"> </w:t>
      </w:r>
      <w:r w:rsidR="007F6EA3" w:rsidRPr="007F6EA3">
        <w:rPr>
          <w:rFonts w:ascii="Calibri" w:hAnsi="Calibri" w:cs="Calibri"/>
          <w:sz w:val="26"/>
          <w:szCs w:val="26"/>
          <w:shd w:val="clear" w:color="auto" w:fill="FFFFFF"/>
        </w:rPr>
        <w:t>inaccurately modeled to include ancillary service capacity</w:t>
      </w:r>
      <w:r w:rsidR="002C4965">
        <w:rPr>
          <w:rFonts w:ascii="Calibri" w:hAnsi="Calibri" w:cs="Calibri"/>
          <w:sz w:val="26"/>
          <w:szCs w:val="26"/>
          <w:shd w:val="clear" w:color="auto" w:fill="FFFFFF"/>
        </w:rPr>
        <w:t>;</w:t>
      </w:r>
      <w:r w:rsidR="007F6EA3" w:rsidRPr="007F6EA3">
        <w:rPr>
          <w:rFonts w:ascii="Calibri" w:hAnsi="Calibri" w:cs="Calibri"/>
          <w:sz w:val="26"/>
          <w:szCs w:val="26"/>
          <w:shd w:val="clear" w:color="auto" w:fill="FFFFFF"/>
        </w:rPr>
        <w:t xml:space="preserve"> </w:t>
      </w:r>
      <w:r w:rsidR="007F6EA3">
        <w:rPr>
          <w:rFonts w:ascii="Calibri" w:hAnsi="Calibri" w:cs="Calibri"/>
          <w:sz w:val="26"/>
          <w:szCs w:val="26"/>
          <w:shd w:val="clear" w:color="auto" w:fill="FFFFFF"/>
        </w:rPr>
        <w:t>5</w:t>
      </w:r>
      <w:r w:rsidR="007F6EA3" w:rsidRPr="007F6EA3">
        <w:rPr>
          <w:rFonts w:ascii="Calibri" w:hAnsi="Calibri" w:cs="Calibri"/>
          <w:sz w:val="26"/>
          <w:szCs w:val="26"/>
          <w:shd w:val="clear" w:color="auto" w:fill="FFFFFF"/>
        </w:rPr>
        <w:t xml:space="preserve">) DC losses </w:t>
      </w:r>
      <w:r w:rsidR="002C4965">
        <w:rPr>
          <w:rFonts w:ascii="Calibri" w:hAnsi="Calibri" w:cs="Calibri"/>
          <w:sz w:val="26"/>
          <w:szCs w:val="26"/>
          <w:shd w:val="clear" w:color="auto" w:fill="FFFFFF"/>
        </w:rPr>
        <w:t xml:space="preserve">were </w:t>
      </w:r>
      <w:r w:rsidR="007F6EA3" w:rsidRPr="007F6EA3">
        <w:rPr>
          <w:rFonts w:ascii="Calibri" w:hAnsi="Calibri" w:cs="Calibri"/>
          <w:sz w:val="26"/>
          <w:szCs w:val="26"/>
          <w:shd w:val="clear" w:color="auto" w:fill="FFFFFF"/>
        </w:rPr>
        <w:t>not included in the test</w:t>
      </w:r>
      <w:r w:rsidR="002C4965">
        <w:rPr>
          <w:rFonts w:ascii="Calibri" w:hAnsi="Calibri" w:cs="Calibri"/>
          <w:sz w:val="26"/>
          <w:szCs w:val="26"/>
          <w:shd w:val="clear" w:color="auto" w:fill="FFFFFF"/>
        </w:rPr>
        <w:t>;</w:t>
      </w:r>
      <w:r w:rsidR="007F6EA3" w:rsidRPr="007F6EA3">
        <w:rPr>
          <w:rFonts w:ascii="Calibri" w:hAnsi="Calibri" w:cs="Calibri"/>
          <w:sz w:val="26"/>
          <w:szCs w:val="26"/>
          <w:shd w:val="clear" w:color="auto" w:fill="FFFFFF"/>
        </w:rPr>
        <w:t xml:space="preserve"> </w:t>
      </w:r>
      <w:r w:rsidR="007F6EA3">
        <w:rPr>
          <w:rFonts w:ascii="Calibri" w:hAnsi="Calibri" w:cs="Calibri"/>
          <w:sz w:val="26"/>
          <w:szCs w:val="26"/>
          <w:shd w:val="clear" w:color="auto" w:fill="FFFFFF"/>
        </w:rPr>
        <w:t>6</w:t>
      </w:r>
      <w:r w:rsidR="007F6EA3" w:rsidRPr="007F6EA3">
        <w:rPr>
          <w:rFonts w:ascii="Calibri" w:hAnsi="Calibri" w:cs="Calibri"/>
          <w:sz w:val="26"/>
          <w:szCs w:val="26"/>
          <w:shd w:val="clear" w:color="auto" w:fill="FFFFFF"/>
        </w:rPr>
        <w:t xml:space="preserve">) </w:t>
      </w:r>
      <w:r w:rsidR="002C4965">
        <w:rPr>
          <w:rFonts w:ascii="Calibri" w:hAnsi="Calibri" w:cs="Calibri"/>
          <w:sz w:val="26"/>
          <w:szCs w:val="26"/>
          <w:shd w:val="clear" w:color="auto" w:fill="FFFFFF"/>
        </w:rPr>
        <w:t>e</w:t>
      </w:r>
      <w:r w:rsidR="007F6EA3" w:rsidRPr="007F6EA3">
        <w:rPr>
          <w:rFonts w:ascii="Calibri" w:hAnsi="Calibri" w:cs="Calibri"/>
          <w:sz w:val="26"/>
          <w:szCs w:val="26"/>
          <w:shd w:val="clear" w:color="auto" w:fill="FFFFFF"/>
        </w:rPr>
        <w:t>mergency imports and exports were not included in the test</w:t>
      </w:r>
      <w:r w:rsidR="007F6EA3">
        <w:rPr>
          <w:rFonts w:ascii="Calibri" w:hAnsi="Calibri" w:cs="Calibri"/>
          <w:sz w:val="26"/>
          <w:szCs w:val="26"/>
          <w:shd w:val="clear" w:color="auto" w:fill="FFFFFF"/>
        </w:rPr>
        <w:t xml:space="preserve"> (discussed above)</w:t>
      </w:r>
      <w:r w:rsidR="007F6EA3" w:rsidRPr="007F6EA3">
        <w:rPr>
          <w:rFonts w:ascii="Calibri" w:hAnsi="Calibri" w:cs="Calibri"/>
          <w:sz w:val="26"/>
          <w:szCs w:val="26"/>
          <w:shd w:val="clear" w:color="auto" w:fill="FFFFFF"/>
        </w:rPr>
        <w:t xml:space="preserve">, </w:t>
      </w:r>
      <w:r w:rsidR="007F6EA3">
        <w:rPr>
          <w:rFonts w:ascii="Calibri" w:hAnsi="Calibri" w:cs="Calibri"/>
          <w:sz w:val="26"/>
          <w:szCs w:val="26"/>
          <w:shd w:val="clear" w:color="auto" w:fill="FFFFFF"/>
        </w:rPr>
        <w:t>7</w:t>
      </w:r>
      <w:r w:rsidR="007F6EA3" w:rsidRPr="007F6EA3">
        <w:rPr>
          <w:rFonts w:ascii="Calibri" w:hAnsi="Calibri" w:cs="Calibri"/>
          <w:sz w:val="26"/>
          <w:szCs w:val="26"/>
          <w:shd w:val="clear" w:color="auto" w:fill="FFFFFF"/>
        </w:rPr>
        <w:t xml:space="preserve">) the test did not reflect </w:t>
      </w:r>
      <w:r w:rsidR="002C4965">
        <w:rPr>
          <w:rFonts w:ascii="Calibri" w:hAnsi="Calibri" w:cs="Calibri"/>
          <w:sz w:val="26"/>
          <w:szCs w:val="26"/>
          <w:shd w:val="clear" w:color="auto" w:fill="FFFFFF"/>
        </w:rPr>
        <w:t>curtailments of HASP imports</w:t>
      </w:r>
      <w:r w:rsidR="002C4965" w:rsidRPr="007F6EA3">
        <w:rPr>
          <w:rFonts w:ascii="Calibri" w:hAnsi="Calibri" w:cs="Calibri"/>
          <w:sz w:val="26"/>
          <w:szCs w:val="26"/>
          <w:shd w:val="clear" w:color="auto" w:fill="FFFFFF"/>
        </w:rPr>
        <w:t xml:space="preserve"> </w:t>
      </w:r>
      <w:r w:rsidR="007F6EA3" w:rsidRPr="007F6EA3">
        <w:rPr>
          <w:rFonts w:ascii="Calibri" w:hAnsi="Calibri" w:cs="Calibri"/>
          <w:sz w:val="26"/>
          <w:szCs w:val="26"/>
          <w:shd w:val="clear" w:color="auto" w:fill="FFFFFF"/>
        </w:rPr>
        <w:t>instituted by other BAAs or HASP imports that failed to deliver</w:t>
      </w:r>
      <w:r w:rsidR="002C4965">
        <w:rPr>
          <w:rFonts w:ascii="Calibri" w:hAnsi="Calibri" w:cs="Calibri"/>
          <w:sz w:val="26"/>
          <w:szCs w:val="26"/>
          <w:shd w:val="clear" w:color="auto" w:fill="FFFFFF"/>
        </w:rPr>
        <w:t>;</w:t>
      </w:r>
      <w:r w:rsidR="007F6EA3" w:rsidRPr="007F6EA3">
        <w:rPr>
          <w:rFonts w:ascii="Calibri" w:hAnsi="Calibri" w:cs="Calibri"/>
          <w:sz w:val="26"/>
          <w:szCs w:val="26"/>
          <w:shd w:val="clear" w:color="auto" w:fill="FFFFFF"/>
        </w:rPr>
        <w:t xml:space="preserve"> </w:t>
      </w:r>
      <w:r w:rsidR="007F6EA3">
        <w:rPr>
          <w:rFonts w:ascii="Calibri" w:hAnsi="Calibri" w:cs="Calibri"/>
          <w:sz w:val="26"/>
          <w:szCs w:val="26"/>
          <w:shd w:val="clear" w:color="auto" w:fill="FFFFFF"/>
        </w:rPr>
        <w:t>8</w:t>
      </w:r>
      <w:r w:rsidR="007F6EA3" w:rsidRPr="007F6EA3">
        <w:rPr>
          <w:rFonts w:ascii="Calibri" w:hAnsi="Calibri" w:cs="Calibri"/>
          <w:sz w:val="26"/>
          <w:szCs w:val="26"/>
          <w:shd w:val="clear" w:color="auto" w:fill="FFFFFF"/>
        </w:rPr>
        <w:t>) the test excluded LPT exports that should have been cut in the HASP process</w:t>
      </w:r>
      <w:r w:rsidR="002C4965">
        <w:rPr>
          <w:rFonts w:ascii="Calibri" w:hAnsi="Calibri" w:cs="Calibri"/>
          <w:sz w:val="26"/>
          <w:szCs w:val="26"/>
          <w:shd w:val="clear" w:color="auto" w:fill="FFFFFF"/>
        </w:rPr>
        <w:t>;</w:t>
      </w:r>
      <w:r w:rsidR="007F6EA3" w:rsidRPr="007F6EA3">
        <w:rPr>
          <w:rFonts w:ascii="Calibri" w:hAnsi="Calibri" w:cs="Calibri"/>
          <w:sz w:val="26"/>
          <w:szCs w:val="26"/>
          <w:shd w:val="clear" w:color="auto" w:fill="FFFFFF"/>
        </w:rPr>
        <w:t xml:space="preserve"> </w:t>
      </w:r>
      <w:r w:rsidR="002C4965">
        <w:rPr>
          <w:rFonts w:ascii="Calibri" w:hAnsi="Calibri" w:cs="Calibri"/>
          <w:sz w:val="26"/>
          <w:szCs w:val="26"/>
          <w:shd w:val="clear" w:color="auto" w:fill="FFFFFF"/>
        </w:rPr>
        <w:t xml:space="preserve">and </w:t>
      </w:r>
      <w:r w:rsidR="007F6EA3">
        <w:rPr>
          <w:rFonts w:ascii="Calibri" w:hAnsi="Calibri" w:cs="Calibri"/>
          <w:sz w:val="26"/>
          <w:szCs w:val="26"/>
          <w:shd w:val="clear" w:color="auto" w:fill="FFFFFF"/>
        </w:rPr>
        <w:t>9</w:t>
      </w:r>
      <w:r w:rsidR="007F6EA3" w:rsidRPr="007F6EA3">
        <w:rPr>
          <w:rFonts w:ascii="Calibri" w:hAnsi="Calibri" w:cs="Calibri"/>
          <w:sz w:val="26"/>
          <w:szCs w:val="26"/>
          <w:shd w:val="clear" w:color="auto" w:fill="FFFFFF"/>
        </w:rPr>
        <w:t>) the test included some MSG that was not available.</w:t>
      </w:r>
      <w:r w:rsidR="003F0F34">
        <w:rPr>
          <w:rStyle w:val="FootnoteReference"/>
          <w:rFonts w:ascii="Calibri" w:hAnsi="Calibri" w:cs="Calibri"/>
          <w:sz w:val="26"/>
          <w:szCs w:val="26"/>
          <w:shd w:val="clear" w:color="auto" w:fill="FFFFFF"/>
        </w:rPr>
        <w:footnoteReference w:id="12"/>
      </w:r>
      <w:r w:rsidR="007F6EA3" w:rsidRPr="007F6EA3">
        <w:rPr>
          <w:rFonts w:ascii="Calibri" w:hAnsi="Calibri" w:cs="Calibri"/>
          <w:sz w:val="26"/>
          <w:szCs w:val="26"/>
          <w:shd w:val="clear" w:color="auto" w:fill="FFFFFF"/>
        </w:rPr>
        <w:t xml:space="preserve">  </w:t>
      </w:r>
    </w:p>
    <w:p w14:paraId="7DAAFB3F" w14:textId="6E689750" w:rsidR="00406469" w:rsidRDefault="007F6EA3" w:rsidP="00D8361A">
      <w:pPr>
        <w:rPr>
          <w:i/>
          <w:iCs/>
          <w:sz w:val="26"/>
          <w:szCs w:val="26"/>
        </w:rPr>
      </w:pPr>
      <w:r>
        <w:rPr>
          <w:i/>
          <w:iCs/>
          <w:sz w:val="26"/>
          <w:szCs w:val="26"/>
        </w:rPr>
        <w:t>Summary of ED Staff’s Position</w:t>
      </w:r>
    </w:p>
    <w:p w14:paraId="3824A81B" w14:textId="4DBE01D6" w:rsidR="007F6EA3" w:rsidRDefault="008C0F66" w:rsidP="00D8361A">
      <w:pPr>
        <w:rPr>
          <w:rFonts w:cstheme="minorHAnsi"/>
          <w:sz w:val="26"/>
          <w:szCs w:val="26"/>
          <w:shd w:val="clear" w:color="auto" w:fill="FFFFFF"/>
        </w:rPr>
      </w:pPr>
      <w:r>
        <w:rPr>
          <w:rFonts w:cstheme="minorHAnsi"/>
          <w:sz w:val="26"/>
          <w:szCs w:val="26"/>
          <w:shd w:val="clear" w:color="auto" w:fill="FFFFFF"/>
        </w:rPr>
        <w:t>In conclusion</w:t>
      </w:r>
      <w:r w:rsidR="003F0F34">
        <w:rPr>
          <w:rFonts w:cstheme="minorHAnsi"/>
          <w:sz w:val="26"/>
          <w:szCs w:val="26"/>
          <w:shd w:val="clear" w:color="auto" w:fill="FFFFFF"/>
        </w:rPr>
        <w:t>,</w:t>
      </w:r>
      <w:r>
        <w:rPr>
          <w:rFonts w:cstheme="minorHAnsi"/>
          <w:sz w:val="26"/>
          <w:szCs w:val="26"/>
          <w:shd w:val="clear" w:color="auto" w:fill="FFFFFF"/>
        </w:rPr>
        <w:t xml:space="preserve"> </w:t>
      </w:r>
      <w:r w:rsidR="00771DF8">
        <w:rPr>
          <w:rFonts w:cstheme="minorHAnsi"/>
          <w:sz w:val="26"/>
          <w:szCs w:val="26"/>
          <w:shd w:val="clear" w:color="auto" w:fill="FFFFFF"/>
        </w:rPr>
        <w:t xml:space="preserve">for the reasons set forth </w:t>
      </w:r>
      <w:r w:rsidR="007F6EA3" w:rsidRPr="007F6EA3">
        <w:rPr>
          <w:rFonts w:cstheme="minorHAnsi"/>
          <w:sz w:val="26"/>
          <w:szCs w:val="26"/>
          <w:shd w:val="clear" w:color="auto" w:fill="FFFFFF"/>
        </w:rPr>
        <w:t xml:space="preserve">above, </w:t>
      </w:r>
      <w:r w:rsidR="00916097">
        <w:rPr>
          <w:rFonts w:cstheme="minorHAnsi"/>
          <w:sz w:val="26"/>
          <w:szCs w:val="26"/>
          <w:shd w:val="clear" w:color="auto" w:fill="FFFFFF"/>
        </w:rPr>
        <w:t>ED s</w:t>
      </w:r>
      <w:r w:rsidR="007F6EA3" w:rsidRPr="007F6EA3">
        <w:rPr>
          <w:rFonts w:cstheme="minorHAnsi"/>
          <w:sz w:val="26"/>
          <w:szCs w:val="26"/>
          <w:shd w:val="clear" w:color="auto" w:fill="FFFFFF"/>
        </w:rPr>
        <w:t xml:space="preserve">taff opposes the </w:t>
      </w:r>
      <w:r w:rsidR="003F0F34">
        <w:rPr>
          <w:rFonts w:cstheme="minorHAnsi"/>
          <w:sz w:val="26"/>
          <w:szCs w:val="26"/>
          <w:shd w:val="clear" w:color="auto" w:fill="FFFFFF"/>
        </w:rPr>
        <w:t xml:space="preserve">CAISO </w:t>
      </w:r>
      <w:r w:rsidR="007F6EA3" w:rsidRPr="007F6EA3">
        <w:rPr>
          <w:rFonts w:cstheme="minorHAnsi"/>
          <w:sz w:val="26"/>
          <w:szCs w:val="26"/>
          <w:shd w:val="clear" w:color="auto" w:fill="FFFFFF"/>
        </w:rPr>
        <w:t>BAA defaulting into this program</w:t>
      </w:r>
      <w:r w:rsidR="007F6EA3">
        <w:rPr>
          <w:rFonts w:cstheme="minorHAnsi"/>
          <w:sz w:val="26"/>
          <w:szCs w:val="26"/>
          <w:shd w:val="clear" w:color="auto" w:fill="FFFFFF"/>
        </w:rPr>
        <w:t xml:space="preserve"> at this time.</w:t>
      </w:r>
    </w:p>
    <w:p w14:paraId="54EED3AB" w14:textId="48D81C20" w:rsidR="00916097" w:rsidRPr="00916097" w:rsidRDefault="00916097" w:rsidP="00990DBD">
      <w:pPr>
        <w:pStyle w:val="ListParagraph"/>
        <w:rPr>
          <w:sz w:val="26"/>
          <w:szCs w:val="26"/>
        </w:rPr>
      </w:pPr>
    </w:p>
    <w:sectPr w:rsidR="00916097" w:rsidRPr="009160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0AE4" w14:textId="77777777" w:rsidR="002C38A9" w:rsidRDefault="002C38A9" w:rsidP="00021DD3">
      <w:pPr>
        <w:spacing w:after="0" w:line="240" w:lineRule="auto"/>
      </w:pPr>
      <w:r>
        <w:separator/>
      </w:r>
    </w:p>
  </w:endnote>
  <w:endnote w:type="continuationSeparator" w:id="0">
    <w:p w14:paraId="6B85A8FB" w14:textId="77777777" w:rsidR="002C38A9" w:rsidRDefault="002C38A9" w:rsidP="0002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B123" w14:textId="77777777" w:rsidR="002C38A9" w:rsidRDefault="002C38A9" w:rsidP="00021DD3">
      <w:pPr>
        <w:spacing w:after="0" w:line="240" w:lineRule="auto"/>
      </w:pPr>
      <w:r>
        <w:separator/>
      </w:r>
    </w:p>
  </w:footnote>
  <w:footnote w:type="continuationSeparator" w:id="0">
    <w:p w14:paraId="324E512C" w14:textId="77777777" w:rsidR="002C38A9" w:rsidRDefault="002C38A9" w:rsidP="00021DD3">
      <w:pPr>
        <w:spacing w:after="0" w:line="240" w:lineRule="auto"/>
      </w:pPr>
      <w:r>
        <w:continuationSeparator/>
      </w:r>
    </w:p>
  </w:footnote>
  <w:footnote w:id="1">
    <w:p w14:paraId="05783832" w14:textId="48E92F0F" w:rsidR="00021DD3" w:rsidRDefault="00021DD3">
      <w:pPr>
        <w:pStyle w:val="FootnoteText"/>
      </w:pPr>
      <w:r>
        <w:rPr>
          <w:rStyle w:val="FootnoteReference"/>
        </w:rPr>
        <w:footnoteRef/>
      </w:r>
      <w:r>
        <w:t xml:space="preserve"> </w:t>
      </w:r>
      <w:hyperlink r:id="rId1" w:history="1">
        <w:r w:rsidRPr="00490959">
          <w:rPr>
            <w:rStyle w:val="Hyperlink"/>
          </w:rPr>
          <w:t>https://stakeholdercenter.caiso.com/Common/DownloadFile/ea6aaf44-b3c6-46d3-9f53-998074a86e28</w:t>
        </w:r>
      </w:hyperlink>
      <w:r>
        <w:t>, p.</w:t>
      </w:r>
      <w:r w:rsidR="00E91B34">
        <w:t xml:space="preserve"> 4.</w:t>
      </w:r>
    </w:p>
    <w:p w14:paraId="6949EBA8" w14:textId="77777777" w:rsidR="00021DD3" w:rsidRDefault="00021DD3">
      <w:pPr>
        <w:pStyle w:val="FootnoteText"/>
      </w:pPr>
    </w:p>
  </w:footnote>
  <w:footnote w:id="2">
    <w:p w14:paraId="2449C49D" w14:textId="27FE3413" w:rsidR="00E91B34" w:rsidRDefault="00E91B34">
      <w:pPr>
        <w:pStyle w:val="FootnoteText"/>
      </w:pPr>
      <w:r>
        <w:rPr>
          <w:rStyle w:val="FootnoteReference"/>
        </w:rPr>
        <w:footnoteRef/>
      </w:r>
      <w:r>
        <w:t xml:space="preserve"> Available at </w:t>
      </w:r>
      <w:hyperlink r:id="rId2" w:anchor="org-3d642b42-52ce-4558-bf0b-9a10adac1e3b" w:history="1">
        <w:r>
          <w:rPr>
            <w:rStyle w:val="Hyperlink"/>
          </w:rPr>
          <w:t>California ISO - All comments (caiso.com)</w:t>
        </w:r>
      </w:hyperlink>
      <w:r>
        <w:t>.</w:t>
      </w:r>
    </w:p>
  </w:footnote>
  <w:footnote w:id="3">
    <w:p w14:paraId="21FC1771" w14:textId="40F48F31" w:rsidR="00E91B34" w:rsidRDefault="00E91B34">
      <w:pPr>
        <w:pStyle w:val="FootnoteText"/>
      </w:pPr>
      <w:r>
        <w:rPr>
          <w:rStyle w:val="FootnoteReference"/>
        </w:rPr>
        <w:footnoteRef/>
      </w:r>
      <w:r>
        <w:t xml:space="preserve"> Id.</w:t>
      </w:r>
    </w:p>
  </w:footnote>
  <w:footnote w:id="4">
    <w:p w14:paraId="30698CF7" w14:textId="1D9E7702" w:rsidR="00E91B34" w:rsidRDefault="00E91B34">
      <w:pPr>
        <w:pStyle w:val="FootnoteText"/>
      </w:pPr>
      <w:r>
        <w:rPr>
          <w:rStyle w:val="FootnoteReference"/>
        </w:rPr>
        <w:footnoteRef/>
      </w:r>
      <w:r>
        <w:t xml:space="preserve"> Id.</w:t>
      </w:r>
    </w:p>
  </w:footnote>
  <w:footnote w:id="5">
    <w:p w14:paraId="6611002E" w14:textId="0F211DEB" w:rsidR="00E91B34" w:rsidRDefault="00E91B34">
      <w:pPr>
        <w:pStyle w:val="FootnoteText"/>
      </w:pPr>
      <w:r>
        <w:rPr>
          <w:rStyle w:val="FootnoteReference"/>
        </w:rPr>
        <w:footnoteRef/>
      </w:r>
      <w:r>
        <w:t xml:space="preserve"> Id.</w:t>
      </w:r>
    </w:p>
  </w:footnote>
  <w:footnote w:id="6">
    <w:p w14:paraId="4F22F38C" w14:textId="152D2879" w:rsidR="00716F04" w:rsidRDefault="00716F04">
      <w:pPr>
        <w:pStyle w:val="FootnoteText"/>
      </w:pPr>
      <w:r>
        <w:rPr>
          <w:rStyle w:val="FootnoteReference"/>
        </w:rPr>
        <w:footnoteRef/>
      </w:r>
      <w:r>
        <w:t xml:space="preserve"> </w:t>
      </w:r>
      <w:hyperlink r:id="rId3" w:history="1">
        <w:r w:rsidRPr="00490959">
          <w:rPr>
            <w:rStyle w:val="Hyperlink"/>
          </w:rPr>
          <w:t>https:</w:t>
        </w:r>
        <w:r w:rsidRPr="00490959">
          <w:rPr>
            <w:rStyle w:val="Hyperlink"/>
          </w:rPr>
          <w:t>/</w:t>
        </w:r>
        <w:r w:rsidRPr="00490959">
          <w:rPr>
            <w:rStyle w:val="Hyperlink"/>
          </w:rPr>
          <w:t>/</w:t>
        </w:r>
        <w:r w:rsidRPr="00490959">
          <w:rPr>
            <w:rStyle w:val="Hyperlink"/>
          </w:rPr>
          <w:t>w</w:t>
        </w:r>
        <w:r w:rsidRPr="00490959">
          <w:rPr>
            <w:rStyle w:val="Hyperlink"/>
          </w:rPr>
          <w:t>ww.caiso.com/Documents/DecisiononResourceSufficiencyEvaluationEnhancementsPhase2-Memo-Dec2022.pdf</w:t>
        </w:r>
      </w:hyperlink>
      <w:r>
        <w:t>, p. 7.</w:t>
      </w:r>
    </w:p>
  </w:footnote>
  <w:footnote w:id="7">
    <w:p w14:paraId="59808AC3" w14:textId="64BD7E15" w:rsidR="00716F04" w:rsidRDefault="00716F04">
      <w:pPr>
        <w:pStyle w:val="FootnoteText"/>
      </w:pPr>
      <w:r>
        <w:rPr>
          <w:rStyle w:val="FootnoteReference"/>
        </w:rPr>
        <w:footnoteRef/>
      </w:r>
      <w:r>
        <w:t xml:space="preserve"> Id. at pp. 7-8.</w:t>
      </w:r>
    </w:p>
  </w:footnote>
  <w:footnote w:id="8">
    <w:p w14:paraId="2B7A7E4A" w14:textId="77777777" w:rsidR="00873DA7" w:rsidRPr="0076480E" w:rsidRDefault="00873DA7" w:rsidP="00873DA7">
      <w:pPr>
        <w:pStyle w:val="FootnoteText"/>
      </w:pPr>
      <w:r>
        <w:rPr>
          <w:rStyle w:val="FootnoteReference"/>
        </w:rPr>
        <w:footnoteRef/>
      </w:r>
      <w:r>
        <w:t xml:space="preserve"> </w:t>
      </w:r>
      <w:r>
        <w:rPr>
          <w:i/>
          <w:iCs/>
        </w:rPr>
        <w:t>Energy Storage Assoc. v. PJM Interconnection, L.L.C.</w:t>
      </w:r>
      <w:r>
        <w:t>, 162 FERC ¶ 61,296, at P 108 (2018).</w:t>
      </w:r>
    </w:p>
  </w:footnote>
  <w:footnote w:id="9">
    <w:p w14:paraId="154B9D40" w14:textId="77777777" w:rsidR="00873DA7" w:rsidRPr="00CE2DF3" w:rsidRDefault="00873DA7" w:rsidP="00873DA7">
      <w:pPr>
        <w:pStyle w:val="FootnoteText"/>
      </w:pPr>
      <w:r>
        <w:rPr>
          <w:rStyle w:val="FootnoteReference"/>
        </w:rPr>
        <w:footnoteRef/>
      </w:r>
      <w:r>
        <w:t xml:space="preserve"> </w:t>
      </w:r>
      <w:r>
        <w:rPr>
          <w:i/>
          <w:iCs/>
        </w:rPr>
        <w:t>Id.</w:t>
      </w:r>
    </w:p>
  </w:footnote>
  <w:footnote w:id="10">
    <w:p w14:paraId="5746E231" w14:textId="28B14704" w:rsidR="002B35FE" w:rsidRDefault="002B35FE">
      <w:pPr>
        <w:pStyle w:val="FootnoteText"/>
      </w:pPr>
      <w:r>
        <w:rPr>
          <w:rStyle w:val="FootnoteReference"/>
        </w:rPr>
        <w:footnoteRef/>
      </w:r>
      <w:r>
        <w:t xml:space="preserve"> </w:t>
      </w:r>
      <w:hyperlink r:id="rId4" w:history="1">
        <w:r>
          <w:rPr>
            <w:rStyle w:val="Hyperlink"/>
          </w:rPr>
          <w:t>MSCFinalOpiniononEIMResourceSufficiencyEvaluationEnhancements-Phase1.pdf (caiso.com)</w:t>
        </w:r>
      </w:hyperlink>
      <w:r>
        <w:t>, p. 20.</w:t>
      </w:r>
    </w:p>
  </w:footnote>
  <w:footnote w:id="11">
    <w:p w14:paraId="1D9A43B8" w14:textId="0CA5EA29" w:rsidR="00DF6EDA" w:rsidRDefault="00DF6EDA">
      <w:pPr>
        <w:pStyle w:val="FootnoteText"/>
        <w:rPr>
          <w:sz w:val="26"/>
          <w:szCs w:val="26"/>
        </w:rPr>
      </w:pPr>
      <w:r>
        <w:rPr>
          <w:rStyle w:val="FootnoteReference"/>
        </w:rPr>
        <w:footnoteRef/>
      </w:r>
      <w:r>
        <w:t xml:space="preserve"> </w:t>
      </w:r>
      <w:hyperlink r:id="rId5" w:history="1">
        <w:r w:rsidRPr="00490959">
          <w:rPr>
            <w:rStyle w:val="Hyperlink"/>
            <w:sz w:val="26"/>
            <w:szCs w:val="26"/>
          </w:rPr>
          <w:t>https://</w:t>
        </w:r>
        <w:r w:rsidRPr="00490959">
          <w:rPr>
            <w:rStyle w:val="Hyperlink"/>
            <w:sz w:val="26"/>
            <w:szCs w:val="26"/>
          </w:rPr>
          <w:t>s</w:t>
        </w:r>
        <w:r w:rsidRPr="00490959">
          <w:rPr>
            <w:rStyle w:val="Hyperlink"/>
            <w:sz w:val="26"/>
            <w:szCs w:val="26"/>
          </w:rPr>
          <w:t>takeholdercenter.caiso.com/Common/DownloadFile/44f0dacd-41ce-4fdc-9ff2-a9e070dc796b</w:t>
        </w:r>
      </w:hyperlink>
    </w:p>
    <w:p w14:paraId="1E2BAC07" w14:textId="77777777" w:rsidR="00DF6EDA" w:rsidRDefault="00DF6EDA">
      <w:pPr>
        <w:pStyle w:val="FootnoteText"/>
      </w:pPr>
    </w:p>
  </w:footnote>
  <w:footnote w:id="12">
    <w:p w14:paraId="68C62F2A" w14:textId="1B1D9EC2" w:rsidR="003F0F34" w:rsidRDefault="003F0F34">
      <w:pPr>
        <w:pStyle w:val="FootnoteText"/>
      </w:pPr>
      <w:r>
        <w:rPr>
          <w:rStyle w:val="FootnoteReference"/>
        </w:rPr>
        <w:footnoteRef/>
      </w:r>
      <w:r>
        <w:t xml:space="preserve"> </w:t>
      </w:r>
      <w:hyperlink r:id="rId6" w:history="1">
        <w:r>
          <w:rPr>
            <w:rStyle w:val="Hyperlink"/>
          </w:rPr>
          <w:t>SummerMarketPerformanceReportforSeptember20</w:t>
        </w:r>
        <w:r>
          <w:rPr>
            <w:rStyle w:val="Hyperlink"/>
          </w:rPr>
          <w:t>2</w:t>
        </w:r>
        <w:r>
          <w:rPr>
            <w:rStyle w:val="Hyperlink"/>
          </w:rPr>
          <w:t>2.p</w:t>
        </w:r>
        <w:r>
          <w:rPr>
            <w:rStyle w:val="Hyperlink"/>
          </w:rPr>
          <w:t>d</w:t>
        </w:r>
        <w:r>
          <w:rPr>
            <w:rStyle w:val="Hyperlink"/>
          </w:rPr>
          <w:t>f (caiso.com)</w:t>
        </w:r>
      </w:hyperlink>
      <w:r>
        <w:t>, pp. 113 – 116.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92E7D"/>
    <w:multiLevelType w:val="hybridMultilevel"/>
    <w:tmpl w:val="007E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68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73"/>
    <w:rsid w:val="00021DD3"/>
    <w:rsid w:val="000523E6"/>
    <w:rsid w:val="00082162"/>
    <w:rsid w:val="00090A52"/>
    <w:rsid w:val="000A24B3"/>
    <w:rsid w:val="001079E6"/>
    <w:rsid w:val="00167C9A"/>
    <w:rsid w:val="00185B9E"/>
    <w:rsid w:val="001D03D0"/>
    <w:rsid w:val="002879C8"/>
    <w:rsid w:val="002B35FE"/>
    <w:rsid w:val="002C1471"/>
    <w:rsid w:val="002C38A9"/>
    <w:rsid w:val="002C4965"/>
    <w:rsid w:val="002E32D0"/>
    <w:rsid w:val="00351941"/>
    <w:rsid w:val="00352587"/>
    <w:rsid w:val="0036462A"/>
    <w:rsid w:val="00394FC0"/>
    <w:rsid w:val="003A0FD5"/>
    <w:rsid w:val="003F0F34"/>
    <w:rsid w:val="003F47F3"/>
    <w:rsid w:val="00403A9C"/>
    <w:rsid w:val="00406469"/>
    <w:rsid w:val="004743E2"/>
    <w:rsid w:val="00475064"/>
    <w:rsid w:val="00475ED4"/>
    <w:rsid w:val="00481369"/>
    <w:rsid w:val="00490D8F"/>
    <w:rsid w:val="004C3CE3"/>
    <w:rsid w:val="004E2386"/>
    <w:rsid w:val="004E390B"/>
    <w:rsid w:val="005A5987"/>
    <w:rsid w:val="005B6023"/>
    <w:rsid w:val="005C65B2"/>
    <w:rsid w:val="005C7AE6"/>
    <w:rsid w:val="005E79B6"/>
    <w:rsid w:val="005F10CD"/>
    <w:rsid w:val="006163C8"/>
    <w:rsid w:val="006508E5"/>
    <w:rsid w:val="00680E2B"/>
    <w:rsid w:val="00690205"/>
    <w:rsid w:val="006C7AD4"/>
    <w:rsid w:val="006D00BF"/>
    <w:rsid w:val="006D04D6"/>
    <w:rsid w:val="006D5396"/>
    <w:rsid w:val="00716F04"/>
    <w:rsid w:val="0074313C"/>
    <w:rsid w:val="0076462F"/>
    <w:rsid w:val="007649F5"/>
    <w:rsid w:val="00771DF8"/>
    <w:rsid w:val="00783911"/>
    <w:rsid w:val="00784532"/>
    <w:rsid w:val="007B2EDE"/>
    <w:rsid w:val="007B4785"/>
    <w:rsid w:val="007D3A43"/>
    <w:rsid w:val="007E73F6"/>
    <w:rsid w:val="007F1966"/>
    <w:rsid w:val="007F6EA3"/>
    <w:rsid w:val="0080030F"/>
    <w:rsid w:val="00845C4D"/>
    <w:rsid w:val="00873DA7"/>
    <w:rsid w:val="008C0F66"/>
    <w:rsid w:val="008D23DB"/>
    <w:rsid w:val="008F56F3"/>
    <w:rsid w:val="00916097"/>
    <w:rsid w:val="009168CC"/>
    <w:rsid w:val="00920FFA"/>
    <w:rsid w:val="009452FB"/>
    <w:rsid w:val="00952CE9"/>
    <w:rsid w:val="00990DBD"/>
    <w:rsid w:val="009A6EC2"/>
    <w:rsid w:val="009C26D9"/>
    <w:rsid w:val="009D6E7E"/>
    <w:rsid w:val="009E2CF8"/>
    <w:rsid w:val="00A16673"/>
    <w:rsid w:val="00A20C87"/>
    <w:rsid w:val="00A31146"/>
    <w:rsid w:val="00A44680"/>
    <w:rsid w:val="00A5768D"/>
    <w:rsid w:val="00A82753"/>
    <w:rsid w:val="00A907B2"/>
    <w:rsid w:val="00A919D5"/>
    <w:rsid w:val="00AA0FAE"/>
    <w:rsid w:val="00AD7CF7"/>
    <w:rsid w:val="00AE5B2D"/>
    <w:rsid w:val="00B563E7"/>
    <w:rsid w:val="00B90B3F"/>
    <w:rsid w:val="00BA3D3F"/>
    <w:rsid w:val="00BA560D"/>
    <w:rsid w:val="00BD3762"/>
    <w:rsid w:val="00BF2EA5"/>
    <w:rsid w:val="00C0555F"/>
    <w:rsid w:val="00C27352"/>
    <w:rsid w:val="00C54A7C"/>
    <w:rsid w:val="00C55FF3"/>
    <w:rsid w:val="00C61317"/>
    <w:rsid w:val="00CA6881"/>
    <w:rsid w:val="00D11C68"/>
    <w:rsid w:val="00D36FC4"/>
    <w:rsid w:val="00D63673"/>
    <w:rsid w:val="00D8361A"/>
    <w:rsid w:val="00D8733B"/>
    <w:rsid w:val="00DA560E"/>
    <w:rsid w:val="00DB7A15"/>
    <w:rsid w:val="00DD2179"/>
    <w:rsid w:val="00DF6EDA"/>
    <w:rsid w:val="00E110DE"/>
    <w:rsid w:val="00E91B34"/>
    <w:rsid w:val="00ED1AC4"/>
    <w:rsid w:val="00F01803"/>
    <w:rsid w:val="00F47754"/>
    <w:rsid w:val="00F66B09"/>
    <w:rsid w:val="00FD4932"/>
    <w:rsid w:val="00FE3146"/>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55DF"/>
  <w15:chartTrackingRefBased/>
  <w15:docId w15:val="{3D3C8EA5-FB1D-4565-9BB1-9CCB2DC5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nhideWhenUsed/>
    <w:qFormat/>
    <w:rsid w:val="00021DD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021DD3"/>
    <w:rPr>
      <w:sz w:val="20"/>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nhideWhenUsed/>
    <w:qFormat/>
    <w:rsid w:val="00021DD3"/>
    <w:rPr>
      <w:vertAlign w:val="superscript"/>
    </w:rPr>
  </w:style>
  <w:style w:type="character" w:styleId="Hyperlink">
    <w:name w:val="Hyperlink"/>
    <w:basedOn w:val="DefaultParagraphFont"/>
    <w:uiPriority w:val="99"/>
    <w:unhideWhenUsed/>
    <w:rsid w:val="00021DD3"/>
    <w:rPr>
      <w:color w:val="0563C1" w:themeColor="hyperlink"/>
      <w:u w:val="single"/>
    </w:rPr>
  </w:style>
  <w:style w:type="character" w:styleId="UnresolvedMention">
    <w:name w:val="Unresolved Mention"/>
    <w:basedOn w:val="DefaultParagraphFont"/>
    <w:uiPriority w:val="99"/>
    <w:semiHidden/>
    <w:unhideWhenUsed/>
    <w:rsid w:val="00021DD3"/>
    <w:rPr>
      <w:color w:val="605E5C"/>
      <w:shd w:val="clear" w:color="auto" w:fill="E1DFDD"/>
    </w:rPr>
  </w:style>
  <w:style w:type="paragraph" w:styleId="ListParagraph">
    <w:name w:val="List Paragraph"/>
    <w:basedOn w:val="Normal"/>
    <w:uiPriority w:val="34"/>
    <w:qFormat/>
    <w:rsid w:val="009E2CF8"/>
    <w:pPr>
      <w:ind w:left="720"/>
      <w:contextualSpacing/>
    </w:pPr>
  </w:style>
  <w:style w:type="character" w:styleId="FollowedHyperlink">
    <w:name w:val="FollowedHyperlink"/>
    <w:basedOn w:val="DefaultParagraphFont"/>
    <w:uiPriority w:val="99"/>
    <w:semiHidden/>
    <w:unhideWhenUsed/>
    <w:rsid w:val="002879C8"/>
    <w:rPr>
      <w:color w:val="954F72" w:themeColor="followedHyperlink"/>
      <w:u w:val="single"/>
    </w:rPr>
  </w:style>
  <w:style w:type="paragraph" w:styleId="NormalWeb">
    <w:name w:val="Normal (Web)"/>
    <w:basedOn w:val="Normal"/>
    <w:uiPriority w:val="99"/>
    <w:semiHidden/>
    <w:unhideWhenUsed/>
    <w:rsid w:val="00D8361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6E7E"/>
    <w:pPr>
      <w:spacing w:after="0" w:line="240" w:lineRule="auto"/>
    </w:pPr>
  </w:style>
  <w:style w:type="character" w:styleId="CommentReference">
    <w:name w:val="annotation reference"/>
    <w:basedOn w:val="DefaultParagraphFont"/>
    <w:uiPriority w:val="99"/>
    <w:semiHidden/>
    <w:unhideWhenUsed/>
    <w:rsid w:val="00BA560D"/>
    <w:rPr>
      <w:sz w:val="16"/>
      <w:szCs w:val="16"/>
    </w:rPr>
  </w:style>
  <w:style w:type="paragraph" w:styleId="CommentText">
    <w:name w:val="annotation text"/>
    <w:basedOn w:val="Normal"/>
    <w:link w:val="CommentTextChar"/>
    <w:uiPriority w:val="99"/>
    <w:unhideWhenUsed/>
    <w:rsid w:val="00BA560D"/>
    <w:pPr>
      <w:spacing w:line="240" w:lineRule="auto"/>
    </w:pPr>
    <w:rPr>
      <w:sz w:val="20"/>
      <w:szCs w:val="20"/>
    </w:rPr>
  </w:style>
  <w:style w:type="character" w:customStyle="1" w:styleId="CommentTextChar">
    <w:name w:val="Comment Text Char"/>
    <w:basedOn w:val="DefaultParagraphFont"/>
    <w:link w:val="CommentText"/>
    <w:uiPriority w:val="99"/>
    <w:rsid w:val="00BA560D"/>
    <w:rPr>
      <w:sz w:val="20"/>
      <w:szCs w:val="20"/>
    </w:rPr>
  </w:style>
  <w:style w:type="paragraph" w:styleId="CommentSubject">
    <w:name w:val="annotation subject"/>
    <w:basedOn w:val="CommentText"/>
    <w:next w:val="CommentText"/>
    <w:link w:val="CommentSubjectChar"/>
    <w:uiPriority w:val="99"/>
    <w:semiHidden/>
    <w:unhideWhenUsed/>
    <w:rsid w:val="00BA560D"/>
    <w:rPr>
      <w:b/>
      <w:bCs/>
    </w:rPr>
  </w:style>
  <w:style w:type="character" w:customStyle="1" w:styleId="CommentSubjectChar">
    <w:name w:val="Comment Subject Char"/>
    <w:basedOn w:val="CommentTextChar"/>
    <w:link w:val="CommentSubject"/>
    <w:uiPriority w:val="99"/>
    <w:semiHidden/>
    <w:rsid w:val="00BA560D"/>
    <w:rPr>
      <w:b/>
      <w:bCs/>
      <w:sz w:val="20"/>
      <w:szCs w:val="20"/>
    </w:rPr>
  </w:style>
  <w:style w:type="character" w:customStyle="1" w:styleId="cf01">
    <w:name w:val="cf01"/>
    <w:basedOn w:val="DefaultParagraphFont"/>
    <w:rsid w:val="00716F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takeholdercenter.caiso.com/Common/DownloadFile/40299f19-b952-4ac5-815b-3159a047d5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iso.com/Documents/SummerMarketPerformanceReportforSeptember2022.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www.caiso.com/Documents/SummerMarketPerformanceReportforSeptember2022.pdf" TargetMode="External"/><Relationship Id="rId2" Type="http://schemas.openxmlformats.org/officeDocument/2006/relationships/numbering" Target="numbering.xml"/><Relationship Id="rId16" Type="http://schemas.openxmlformats.org/officeDocument/2006/relationships/hyperlink" Target="http://www.caiso.com/Documents/Market-Monitoring-Update-Resource-Sufficiency-Tests-WEIM-2022-10-25.pdf" TargetMode="External"/><Relationship Id="rId20" Type="http://schemas.openxmlformats.org/officeDocument/2006/relationships/image" Target="media/image10.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caiso.com/Documents/SummerMarketPerformanceReportforSeptember2022.pdf" TargetMode="Externa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iso.com/Documents/Regional-Issues-Forum-Presentation-Market-Conditions-Issues-Performance-During-Summer-2022-Heat-Wave-2022-11-08.pdf" TargetMode="External"/><Relationship Id="rId22" Type="http://schemas.openxmlformats.org/officeDocument/2006/relationships/image" Target="media/image11.png"/><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caiso.com/Documents/DecisiononResourceSufficiencyEvaluationEnhancementsPhase2-Memo-Dec2022.pdf" TargetMode="External"/><Relationship Id="rId2" Type="http://schemas.openxmlformats.org/officeDocument/2006/relationships/hyperlink" Target="https://stakeholdercenter.caiso.com/Comments/AllComments/6433a96c-2463-47a5-8c4d-25538ddd6785" TargetMode="External"/><Relationship Id="rId1" Type="http://schemas.openxmlformats.org/officeDocument/2006/relationships/hyperlink" Target="https://stakeholdercenter.caiso.com/Common/DownloadFile/ea6aaf44-b3c6-46d3-9f53-998074a86e28" TargetMode="External"/><Relationship Id="rId6" Type="http://schemas.openxmlformats.org/officeDocument/2006/relationships/hyperlink" Target="http://www.caiso.com/Documents/SummerMarketPerformanceReportforSeptember2022.pdf" TargetMode="External"/><Relationship Id="rId5" Type="http://schemas.openxmlformats.org/officeDocument/2006/relationships/hyperlink" Target="https://stakeholdercenter.caiso.com/Common/DownloadFile/44f0dacd-41ce-4fdc-9ff2-a9e070dc796b" TargetMode="External"/><Relationship Id="rId4" Type="http://schemas.openxmlformats.org/officeDocument/2006/relationships/hyperlink" Target="http://www.caiso.com/Documents/MSCFinalOpiniononEIMResourceSufficiencyEvaluationEnhancements-Phas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42AC5-2DDF-4FBC-85E9-A43CC00585C9}">
  <ds:schemaRefs>
    <ds:schemaRef ds:uri="http://schemas.openxmlformats.org/officeDocument/2006/bibliography"/>
  </ds:schemaRefs>
</ds:datastoreItem>
</file>

<file path=customXml/itemProps2.xml><?xml version="1.0" encoding="utf-8"?>
<ds:datastoreItem xmlns:ds="http://schemas.openxmlformats.org/officeDocument/2006/customXml" ds:itemID="{0B053AA6-9DB5-41FC-9D36-1AAA9682A142}"/>
</file>

<file path=customXml/itemProps3.xml><?xml version="1.0" encoding="utf-8"?>
<ds:datastoreItem xmlns:ds="http://schemas.openxmlformats.org/officeDocument/2006/customXml" ds:itemID="{B6BF35BE-3396-4DDF-B5DF-D8C6671708B9}"/>
</file>

<file path=customXml/itemProps4.xml><?xml version="1.0" encoding="utf-8"?>
<ds:datastoreItem xmlns:ds="http://schemas.openxmlformats.org/officeDocument/2006/customXml" ds:itemID="{713A17CE-ECDF-476C-9129-C5DBC8F1F6E9}"/>
</file>

<file path=docProps/app.xml><?xml version="1.0" encoding="utf-8"?>
<Properties xmlns="http://schemas.openxmlformats.org/officeDocument/2006/extended-properties" xmlns:vt="http://schemas.openxmlformats.org/officeDocument/2006/docPropsVTypes">
  <Template>Normal.dotm</Template>
  <TotalTime>86</TotalTime>
  <Pages>13</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Kito, Michele</dc:creator>
  <cp:keywords/>
  <dc:description/>
  <cp:lastModifiedBy>Kito, Michele</cp:lastModifiedBy>
  <cp:revision>4</cp:revision>
  <dcterms:created xsi:type="dcterms:W3CDTF">2023-04-19T01:13:00Z</dcterms:created>
  <dcterms:modified xsi:type="dcterms:W3CDTF">2023-04-19T02:31:00Z</dcterms:modified>
</cp:coreProperties>
</file>